
<file path=[Content_Types].xml><?xml version="1.0" encoding="utf-8"?>
<Types xmlns="http://schemas.openxmlformats.org/package/2006/content-types">
  <Default Extension="xml" ContentType="application/xml"/>
  <Default Extension="jpeg" ContentType="image/jpe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utlineLvl w:val="1"/>
        <w:rPr>
          <w:rFonts w:ascii="黑体" w:hAnsi="黑体" w:eastAsia="黑体"/>
          <w:sz w:val="32"/>
          <w:szCs w:val="32"/>
        </w:rPr>
      </w:pPr>
      <w:bookmarkStart w:id="0" w:name="_Toc471380731"/>
      <w:r>
        <w:rPr>
          <w:rFonts w:hint="eastAsia" w:ascii="黑体" w:hAnsi="黑体" w:eastAsia="黑体"/>
          <w:sz w:val="32"/>
          <w:szCs w:val="32"/>
        </w:rPr>
        <w:t>基于核酸的小分子识别、调控及在疾病诊疗中的应用研究</w:t>
      </w:r>
      <w:bookmarkEnd w:id="0"/>
    </w:p>
    <w:p>
      <w:pPr>
        <w:jc w:val="center"/>
        <w:rPr>
          <w:rFonts w:ascii="仿宋" w:hAnsi="仿宋" w:eastAsia="仿宋"/>
          <w:b/>
          <w:sz w:val="32"/>
          <w:szCs w:val="32"/>
        </w:rPr>
      </w:pPr>
      <w:r>
        <w:rPr>
          <w:rFonts w:hint="eastAsia" w:ascii="仿宋" w:hAnsi="仿宋" w:eastAsia="仿宋"/>
          <w:b/>
          <w:sz w:val="32"/>
          <w:szCs w:val="32"/>
        </w:rPr>
        <w:t>推荐单位意见</w:t>
      </w:r>
    </w:p>
    <w:p>
      <w:pPr>
        <w:ind w:firstLine="640" w:firstLineChars="200"/>
        <w:rPr>
          <w:rFonts w:ascii="仿宋" w:hAnsi="仿宋" w:eastAsia="仿宋"/>
          <w:sz w:val="32"/>
          <w:szCs w:val="32"/>
        </w:rPr>
      </w:pPr>
      <w:r>
        <w:rPr>
          <w:rFonts w:hint="eastAsia" w:ascii="仿宋" w:hAnsi="仿宋" w:eastAsia="仿宋"/>
          <w:sz w:val="32"/>
          <w:szCs w:val="32"/>
        </w:rPr>
        <w:t>疾病对人类的健康和生存构成重大威胁，是世界各国面临的最重要的社会问题之一。如何开发出具有自主创新的疾病诊断和治疗新技术，是科学家面临的一项重要任务。</w:t>
      </w:r>
    </w:p>
    <w:p>
      <w:pPr>
        <w:ind w:firstLine="640" w:firstLineChars="200"/>
        <w:rPr>
          <w:rFonts w:ascii="仿宋" w:hAnsi="仿宋" w:eastAsia="仿宋"/>
          <w:sz w:val="32"/>
          <w:szCs w:val="32"/>
        </w:rPr>
      </w:pPr>
      <w:r>
        <w:rPr>
          <w:rFonts w:hint="eastAsia" w:ascii="仿宋" w:hAnsi="仿宋" w:eastAsia="仿宋"/>
          <w:sz w:val="32"/>
          <w:szCs w:val="32"/>
        </w:rPr>
        <w:t>该项目以国家迫切需求为导向，坚持基础研究与应用相结合的理念，以核酸为靶目标，运用化学生物学的方法，在小分子对核酸的识别和调控领域进行了长期、深入的研究工作，取得了开拓性的研究成果，创建了一系列疾病诊断和治疗的新技术，有着十分重要的理论基础和应用潜力，极大地增加了我国在化学生物学领域的地位和开发自主创新的疾病诊疗技术的可能性。</w:t>
      </w:r>
    </w:p>
    <w:p>
      <w:pPr>
        <w:ind w:firstLine="640" w:firstLineChars="200"/>
        <w:rPr>
          <w:rFonts w:ascii="仿宋" w:hAnsi="仿宋" w:eastAsia="仿宋"/>
          <w:sz w:val="32"/>
          <w:szCs w:val="32"/>
        </w:rPr>
      </w:pPr>
      <w:r>
        <w:rPr>
          <w:rFonts w:hint="eastAsia" w:ascii="仿宋" w:hAnsi="仿宋" w:eastAsia="仿宋"/>
          <w:sz w:val="32"/>
          <w:szCs w:val="32"/>
        </w:rPr>
        <w:t>该项目组成员长期坚持从事核酸化学生物学的基础研究和应用基础研究，学风严谨，用于创新，重视国际交流和合作，重视研究生的培养，在国内外会议上作过多次大会邀请报告，曾获得湖北省自然科学一等奖、湖北省科技进步一等奖和药明康德生物化学奖二等奖各一项，受到国内外同行的关注。</w:t>
      </w:r>
    </w:p>
    <w:p>
      <w:pPr>
        <w:ind w:firstLine="640" w:firstLineChars="200"/>
        <w:rPr>
          <w:rFonts w:hint="eastAsia" w:ascii="仿宋" w:hAnsi="仿宋" w:eastAsia="仿宋"/>
          <w:sz w:val="32"/>
          <w:szCs w:val="32"/>
        </w:rPr>
      </w:pPr>
      <w:r>
        <w:rPr>
          <w:rFonts w:hint="eastAsia" w:ascii="仿宋" w:hAnsi="仿宋" w:eastAsia="仿宋"/>
          <w:sz w:val="32"/>
          <w:szCs w:val="32"/>
        </w:rPr>
        <w:t>推荐该项目申报国家自然科学奖二等奖。</w:t>
      </w:r>
    </w:p>
    <w:p>
      <w:pPr>
        <w:ind w:firstLine="640" w:firstLineChars="200"/>
        <w:rPr>
          <w:rFonts w:ascii="仿宋" w:hAnsi="仿宋" w:eastAsia="仿宋"/>
          <w:sz w:val="32"/>
          <w:szCs w:val="32"/>
        </w:rPr>
      </w:pPr>
    </w:p>
    <w:p>
      <w:pPr>
        <w:jc w:val="center"/>
        <w:rPr>
          <w:rFonts w:ascii="仿宋" w:hAnsi="仿宋" w:eastAsia="仿宋"/>
          <w:b/>
          <w:sz w:val="32"/>
          <w:szCs w:val="32"/>
        </w:rPr>
      </w:pPr>
    </w:p>
    <w:p>
      <w:pPr>
        <w:jc w:val="center"/>
        <w:rPr>
          <w:rFonts w:ascii="仿宋" w:hAnsi="仿宋" w:eastAsia="仿宋"/>
          <w:b/>
          <w:sz w:val="32"/>
          <w:szCs w:val="32"/>
        </w:rPr>
      </w:pPr>
      <w:r>
        <w:rPr>
          <w:rFonts w:hint="eastAsia" w:ascii="仿宋" w:hAnsi="仿宋" w:eastAsia="仿宋"/>
          <w:b/>
          <w:sz w:val="32"/>
          <w:szCs w:val="32"/>
        </w:rPr>
        <w:t>项目简介</w:t>
      </w:r>
    </w:p>
    <w:p>
      <w:pPr>
        <w:ind w:firstLine="640" w:firstLineChars="200"/>
        <w:rPr>
          <w:rFonts w:ascii="仿宋" w:hAnsi="仿宋" w:eastAsia="仿宋"/>
          <w:sz w:val="32"/>
          <w:szCs w:val="32"/>
          <w:lang w:val="zh-CN"/>
        </w:rPr>
      </w:pPr>
      <w:r>
        <w:rPr>
          <w:rFonts w:hint="eastAsia" w:ascii="仿宋" w:hAnsi="仿宋" w:eastAsia="仿宋"/>
          <w:sz w:val="32"/>
          <w:szCs w:val="32"/>
          <w:lang w:val="zh-CN"/>
        </w:rPr>
        <w:t>疾病诊疗新技术的开发是关系国计民生的重要社会需求，而产业基础薄弱是我国目前面临的重要社会问题，因此迫切需要开创自主创新的疾病诊疗新思路。由于大量重大疾病均与核酸密切相关，本项目基于化学生物学手段，面向社会需求，通过小分子对核酸结构识别和功能调控来实现疾病诊断和药物分子获取, 在核酸靶向识别和调控机制领域进行了多年系统深入的研究，并开展了前期临床样本的检测和验证，取得开拓性的科研成果和疾病检测的关键技术和方法。主要科学发现如下：</w:t>
      </w:r>
    </w:p>
    <w:p>
      <w:pPr>
        <w:ind w:firstLine="643" w:firstLineChars="200"/>
        <w:rPr>
          <w:rFonts w:ascii="仿宋" w:hAnsi="仿宋" w:eastAsia="仿宋"/>
          <w:sz w:val="32"/>
          <w:szCs w:val="32"/>
          <w:lang w:val="zh-CN"/>
        </w:rPr>
      </w:pPr>
      <w:r>
        <w:rPr>
          <w:rFonts w:hint="eastAsia" w:ascii="仿宋" w:hAnsi="仿宋" w:eastAsia="仿宋"/>
          <w:b/>
          <w:sz w:val="32"/>
          <w:szCs w:val="32"/>
          <w:lang w:val="zh-CN"/>
        </w:rPr>
        <w:t>1.</w:t>
      </w:r>
      <w:r>
        <w:rPr>
          <w:rFonts w:hint="eastAsia" w:ascii="仿宋" w:hAnsi="仿宋" w:eastAsia="仿宋"/>
          <w:b/>
          <w:sz w:val="32"/>
          <w:szCs w:val="32"/>
          <w:lang w:val="zh-CN"/>
        </w:rPr>
        <w:tab/>
      </w:r>
      <w:r>
        <w:rPr>
          <w:rFonts w:hint="eastAsia" w:ascii="仿宋" w:hAnsi="仿宋" w:eastAsia="仿宋"/>
          <w:b/>
          <w:sz w:val="32"/>
          <w:szCs w:val="32"/>
          <w:lang w:val="zh-CN"/>
        </w:rPr>
        <w:t>揭示小分子对G-四链核酸结构识别和调控的新机制。</w:t>
      </w:r>
      <w:r>
        <w:rPr>
          <w:rFonts w:hint="eastAsia" w:ascii="仿宋" w:hAnsi="仿宋" w:eastAsia="仿宋"/>
          <w:sz w:val="32"/>
          <w:szCs w:val="32"/>
          <w:lang w:val="zh-CN"/>
        </w:rPr>
        <w:t>合成了选择性识别和稳定不同的G-四链核酸 (G-4) 的大环类衍生物，对肿瘤高表达的端粒酶具有很好抑制并选择性杀死肿瘤细胞，提出了小分子对G-4识别的新机制和抗肿瘤药物设计的新策略。合成的双钌配合物能特异识别G-4产生光响应，创立了目视方法检测G-4的新技术。通过光诱导实现小分子不同异构体对单链和G-4结构的调控。成果被诺贝尔奖获得者Cech教授（RNA具有生物催化作用的发现者）在Nat. Rev. Mol. Cell Bio.评价 “（G-4）在体外限制端粒酶的延伸策略，…..在体内研究可能确实有用”，加拿大皇家科学院院士乐晓春教授和以色列科学院院士Willner教授也对我们工作进行了引述，也被英国皇家学会的Chemical Biology，ChemistryWorld，Chinese Science（专辑），美国化学会ACS的Noteworth Chemistry等追踪报道。研究论文被Angew. Chem. Int. Ed. 编辑选为“Hot Paper”</w:t>
      </w:r>
    </w:p>
    <w:p>
      <w:pPr>
        <w:ind w:firstLine="643" w:firstLineChars="200"/>
        <w:rPr>
          <w:rFonts w:ascii="仿宋" w:hAnsi="仿宋" w:eastAsia="仿宋"/>
          <w:sz w:val="32"/>
          <w:szCs w:val="32"/>
          <w:lang w:val="zh-CN"/>
        </w:rPr>
      </w:pPr>
      <w:r>
        <w:rPr>
          <w:rFonts w:hint="eastAsia" w:ascii="仿宋" w:hAnsi="仿宋" w:eastAsia="仿宋"/>
          <w:b/>
          <w:sz w:val="32"/>
          <w:szCs w:val="32"/>
          <w:lang w:val="zh-CN"/>
        </w:rPr>
        <w:t>2. 实现了小分子对非规则核酸的结构调控新方法。</w:t>
      </w:r>
      <w:r>
        <w:rPr>
          <w:rFonts w:hint="eastAsia" w:ascii="仿宋" w:hAnsi="仿宋" w:eastAsia="仿宋"/>
          <w:sz w:val="32"/>
          <w:szCs w:val="32"/>
          <w:lang w:val="zh-CN"/>
        </w:rPr>
        <w:t>新型金属钌配合物能高效诱导和调控B-型DNA转变为Z-型DNA（在基因转录的过程起重要作用），突破了传统的Z-DNA诱导剂需要有确定的碱基序列和盐离子浓度的限制，并实现了在活细胞中诱导形成Z-DNA，对揭示由Z-DNA介导的生物学功能具有重要意义。</w:t>
      </w:r>
    </w:p>
    <w:p>
      <w:pPr>
        <w:ind w:firstLine="643" w:firstLineChars="200"/>
        <w:rPr>
          <w:rFonts w:ascii="仿宋" w:hAnsi="仿宋" w:eastAsia="仿宋"/>
          <w:sz w:val="32"/>
          <w:szCs w:val="32"/>
          <w:lang w:val="zh-CN"/>
        </w:rPr>
      </w:pPr>
      <w:r>
        <w:rPr>
          <w:rFonts w:hint="eastAsia" w:ascii="仿宋" w:hAnsi="仿宋" w:eastAsia="仿宋"/>
          <w:b/>
          <w:sz w:val="32"/>
          <w:szCs w:val="32"/>
          <w:lang w:val="zh-CN"/>
        </w:rPr>
        <w:t>3. 创建对肿瘤细胞具有特异杀伤作用的可诱导核酸交联剂新策略。</w:t>
      </w:r>
      <w:r>
        <w:rPr>
          <w:rFonts w:hint="eastAsia" w:ascii="仿宋" w:hAnsi="仿宋" w:eastAsia="仿宋"/>
          <w:sz w:val="32"/>
          <w:szCs w:val="32"/>
          <w:lang w:val="zh-CN"/>
        </w:rPr>
        <w:t>分别利用光、氧化剂和酶的诱导，苯酚类衍生物可以产生活性中间体而对核酸共价交联，达到选择杀死肿瘤细胞的目的，对于提高药物活性分子选择性、降低毒性具有重要意义。研究成果被ACS的Heart Cut专文重点推荐，评论文章被选为2003年9篇最佳评述文章之一（Best of Heart Cut in 2003）。</w:t>
      </w:r>
    </w:p>
    <w:p>
      <w:pPr>
        <w:ind w:firstLine="643" w:firstLineChars="200"/>
        <w:rPr>
          <w:rFonts w:ascii="仿宋" w:hAnsi="仿宋" w:eastAsia="仿宋"/>
          <w:sz w:val="32"/>
          <w:szCs w:val="32"/>
          <w:lang w:val="zh-CN"/>
        </w:rPr>
      </w:pPr>
      <w:r>
        <w:rPr>
          <w:rFonts w:hint="eastAsia" w:ascii="仿宋" w:hAnsi="仿宋" w:eastAsia="仿宋"/>
          <w:b/>
          <w:sz w:val="32"/>
          <w:szCs w:val="32"/>
          <w:lang w:val="zh-CN"/>
        </w:rPr>
        <w:t>4. 创建基于核酸的疾病诊断新技术。</w:t>
      </w:r>
      <w:r>
        <w:rPr>
          <w:rFonts w:hint="eastAsia" w:ascii="仿宋" w:hAnsi="仿宋" w:eastAsia="仿宋"/>
          <w:sz w:val="32"/>
          <w:szCs w:val="32"/>
          <w:lang w:val="zh-CN"/>
        </w:rPr>
        <w:t>建立高灵敏度DNA甲基化和羟甲基化的分析方法，发现肝脏组织中5-hmdC明显低于癌旁组织，并与肿瘤分期明显相关。研究成果被Nat. Rev. Cancer和Cell子刊Molecular Cell进行正面评价和引用。醛基修饰核酸是许多疾病的重要标志物，我们创建了醛基修饰核酸的检测方法，实现全基因组中醛基核酸的测定，具有操作简单，检测灵敏等特点，论文被ACS的JACS, JOC, OL联合精选的2014年Nucleic Acids: chemistry and applications 25篇“激动人心（exciting）”文章之一，并被评述为：这种荧光标记的检测方法，将会为破译表观遗传特征的调节机制铺平了道路。利用血红素与G-4形成复合结构，实现突变碱基（许多重大疾病的根源）的检测新技术，并用于结合分枝杆菌利福平耐药可视化检测。针对2型糖尿病基因突变的特点，新发现5种突变位点，成功研制针对糖尿病线粒体基因突变的筛查芯片临床诊断技术，具有操作流程简单、快速、成本低等特点。</w:t>
      </w:r>
    </w:p>
    <w:p>
      <w:pPr>
        <w:ind w:firstLine="640" w:firstLineChars="200"/>
        <w:rPr>
          <w:rFonts w:hint="eastAsia" w:ascii="仿宋" w:hAnsi="仿宋" w:eastAsia="仿宋"/>
          <w:sz w:val="32"/>
          <w:szCs w:val="32"/>
          <w:lang w:val="zh-CN"/>
        </w:rPr>
      </w:pPr>
      <w:r>
        <w:rPr>
          <w:rFonts w:hint="eastAsia" w:ascii="仿宋" w:hAnsi="仿宋" w:eastAsia="仿宋"/>
          <w:sz w:val="32"/>
          <w:szCs w:val="32"/>
          <w:lang w:val="zh-CN"/>
        </w:rPr>
        <w:t>本项目的研究成果在</w:t>
      </w:r>
      <w:r>
        <w:rPr>
          <w:rFonts w:hint="eastAsia" w:ascii="仿宋" w:hAnsi="仿宋" w:eastAsia="仿宋"/>
          <w:b/>
          <w:sz w:val="32"/>
          <w:szCs w:val="32"/>
          <w:lang w:val="zh-CN"/>
        </w:rPr>
        <w:t>PNAS (1篇)，J. Am. Chem. Soc. （6篇），Angew. Chem. Int. Ed. (5篇) ，Nucleic Acids Res.（5篇）</w:t>
      </w:r>
      <w:r>
        <w:rPr>
          <w:rFonts w:hint="eastAsia" w:ascii="仿宋" w:hAnsi="仿宋" w:eastAsia="仿宋"/>
          <w:sz w:val="32"/>
          <w:szCs w:val="32"/>
          <w:lang w:val="zh-CN"/>
        </w:rPr>
        <w:t>等上发表SCI论文90篇；8篇代表性论文被他引496次，其中SCI他引416次，研究成果被Nature 子刊, Cell子刊和Chem Rev等顶尖杂志多次引用，高度评价，在国际上产生重要影响，提升我国在化学生物学领域的国际地位。已获得国家发明专利4项，获得湖北省自然科学一等奖和湖北省科技进步一等奖各一项，药明康德生物化学奖二等奖一项，项目主要完成者为国家杰出青年基金获得者、教育部长江学者特聘教授</w:t>
      </w:r>
      <w:bookmarkStart w:id="1" w:name="_GoBack"/>
      <w:bookmarkEnd w:id="1"/>
      <w:r>
        <w:rPr>
          <w:rFonts w:hint="eastAsia" w:ascii="仿宋" w:hAnsi="仿宋" w:eastAsia="仿宋"/>
          <w:sz w:val="32"/>
          <w:szCs w:val="32"/>
          <w:lang w:val="zh-CN"/>
        </w:rPr>
        <w:t>。</w:t>
      </w:r>
    </w:p>
    <w:p>
      <w:pPr>
        <w:ind w:firstLine="640" w:firstLineChars="200"/>
        <w:rPr>
          <w:rFonts w:hint="eastAsia" w:ascii="仿宋" w:hAnsi="仿宋" w:eastAsia="仿宋"/>
          <w:sz w:val="32"/>
          <w:szCs w:val="32"/>
          <w:lang w:val="zh-CN"/>
        </w:rPr>
      </w:pPr>
    </w:p>
    <w:p>
      <w:pPr>
        <w:ind w:firstLine="640" w:firstLineChars="200"/>
        <w:rPr>
          <w:rFonts w:hint="eastAsia" w:ascii="仿宋" w:hAnsi="仿宋" w:eastAsia="仿宋"/>
          <w:sz w:val="32"/>
          <w:szCs w:val="32"/>
          <w:lang w:val="zh-CN"/>
        </w:rPr>
      </w:pPr>
    </w:p>
    <w:p>
      <w:pPr>
        <w:ind w:firstLine="640" w:firstLineChars="200"/>
        <w:rPr>
          <w:rFonts w:hint="eastAsia" w:ascii="仿宋" w:hAnsi="仿宋" w:eastAsia="仿宋"/>
          <w:sz w:val="32"/>
          <w:szCs w:val="32"/>
          <w:lang w:val="zh-CN"/>
        </w:rPr>
      </w:pPr>
    </w:p>
    <w:p>
      <w:pPr>
        <w:ind w:firstLine="640" w:firstLineChars="200"/>
        <w:rPr>
          <w:rFonts w:hint="eastAsia" w:ascii="仿宋" w:hAnsi="仿宋" w:eastAsia="仿宋"/>
          <w:sz w:val="32"/>
          <w:szCs w:val="32"/>
          <w:lang w:val="zh-CN"/>
        </w:rPr>
      </w:pPr>
    </w:p>
    <w:p>
      <w:pPr>
        <w:ind w:firstLine="640" w:firstLineChars="200"/>
        <w:rPr>
          <w:rFonts w:hint="eastAsia" w:ascii="仿宋" w:hAnsi="仿宋" w:eastAsia="仿宋"/>
          <w:sz w:val="32"/>
          <w:szCs w:val="32"/>
          <w:lang w:val="zh-CN"/>
        </w:rPr>
      </w:pPr>
    </w:p>
    <w:p>
      <w:pPr>
        <w:ind w:firstLine="640" w:firstLineChars="200"/>
        <w:rPr>
          <w:rFonts w:hint="eastAsia" w:ascii="仿宋" w:hAnsi="仿宋" w:eastAsia="仿宋"/>
          <w:sz w:val="32"/>
          <w:szCs w:val="32"/>
          <w:lang w:val="zh-CN"/>
        </w:rPr>
      </w:pPr>
    </w:p>
    <w:p>
      <w:pPr>
        <w:ind w:firstLine="640" w:firstLineChars="200"/>
        <w:rPr>
          <w:rFonts w:hint="eastAsia" w:ascii="仿宋" w:hAnsi="仿宋" w:eastAsia="仿宋"/>
          <w:sz w:val="32"/>
          <w:szCs w:val="32"/>
          <w:lang w:val="zh-CN"/>
        </w:rPr>
      </w:pPr>
    </w:p>
    <w:p>
      <w:pPr>
        <w:ind w:firstLine="640" w:firstLineChars="200"/>
        <w:rPr>
          <w:rFonts w:hint="eastAsia" w:ascii="仿宋" w:hAnsi="仿宋" w:eastAsia="仿宋"/>
          <w:sz w:val="32"/>
          <w:szCs w:val="32"/>
          <w:lang w:val="zh-CN"/>
        </w:rPr>
      </w:pPr>
    </w:p>
    <w:p>
      <w:pPr>
        <w:ind w:firstLine="640" w:firstLineChars="200"/>
        <w:rPr>
          <w:rFonts w:hint="eastAsia" w:ascii="仿宋" w:hAnsi="仿宋" w:eastAsia="仿宋"/>
          <w:sz w:val="32"/>
          <w:szCs w:val="32"/>
          <w:lang w:val="zh-CN"/>
        </w:rPr>
      </w:pPr>
    </w:p>
    <w:p>
      <w:pPr>
        <w:ind w:firstLine="640" w:firstLineChars="200"/>
        <w:rPr>
          <w:rFonts w:hint="eastAsia" w:ascii="仿宋" w:hAnsi="仿宋" w:eastAsia="仿宋"/>
          <w:sz w:val="32"/>
          <w:szCs w:val="32"/>
          <w:lang w:val="zh-CN"/>
        </w:rPr>
      </w:pPr>
    </w:p>
    <w:p>
      <w:pPr>
        <w:ind w:firstLine="640" w:firstLineChars="200"/>
        <w:rPr>
          <w:rFonts w:hint="eastAsia" w:ascii="仿宋" w:hAnsi="仿宋" w:eastAsia="仿宋"/>
          <w:sz w:val="32"/>
          <w:szCs w:val="32"/>
          <w:lang w:val="zh-CN"/>
        </w:rPr>
      </w:pPr>
    </w:p>
    <w:p>
      <w:pPr>
        <w:ind w:firstLine="640" w:firstLineChars="200"/>
        <w:rPr>
          <w:rFonts w:hint="eastAsia" w:ascii="仿宋" w:hAnsi="仿宋" w:eastAsia="仿宋"/>
          <w:sz w:val="32"/>
          <w:szCs w:val="32"/>
          <w:lang w:val="zh-CN"/>
        </w:rPr>
      </w:pPr>
    </w:p>
    <w:p>
      <w:pPr>
        <w:ind w:firstLine="640" w:firstLineChars="200"/>
        <w:rPr>
          <w:rFonts w:hint="eastAsia" w:ascii="仿宋" w:hAnsi="仿宋" w:eastAsia="仿宋"/>
          <w:sz w:val="32"/>
          <w:szCs w:val="32"/>
          <w:lang w:val="zh-CN"/>
        </w:rPr>
      </w:pPr>
    </w:p>
    <w:p>
      <w:pPr>
        <w:ind w:firstLine="640" w:firstLineChars="200"/>
        <w:rPr>
          <w:rFonts w:hint="eastAsia" w:ascii="仿宋" w:hAnsi="仿宋" w:eastAsia="仿宋"/>
          <w:sz w:val="32"/>
          <w:szCs w:val="32"/>
          <w:lang w:val="zh-CN"/>
        </w:rPr>
      </w:pPr>
    </w:p>
    <w:p>
      <w:pPr>
        <w:ind w:firstLine="640" w:firstLineChars="200"/>
        <w:rPr>
          <w:rFonts w:hint="eastAsia" w:ascii="仿宋" w:hAnsi="仿宋" w:eastAsia="仿宋"/>
          <w:sz w:val="32"/>
          <w:szCs w:val="32"/>
          <w:lang w:val="zh-CN"/>
        </w:rPr>
      </w:pPr>
    </w:p>
    <w:p>
      <w:pPr>
        <w:ind w:firstLine="640" w:firstLineChars="200"/>
        <w:rPr>
          <w:rFonts w:hint="eastAsia" w:ascii="仿宋" w:hAnsi="仿宋" w:eastAsia="仿宋"/>
          <w:sz w:val="32"/>
          <w:szCs w:val="32"/>
          <w:lang w:val="zh-CN"/>
        </w:rPr>
      </w:pPr>
    </w:p>
    <w:p>
      <w:pPr>
        <w:ind w:firstLine="640" w:firstLineChars="200"/>
        <w:rPr>
          <w:rFonts w:hint="eastAsia" w:ascii="仿宋" w:hAnsi="仿宋" w:eastAsia="仿宋"/>
          <w:sz w:val="32"/>
          <w:szCs w:val="32"/>
          <w:lang w:val="zh-CN"/>
        </w:rPr>
      </w:pPr>
    </w:p>
    <w:p>
      <w:pPr>
        <w:ind w:firstLine="640" w:firstLineChars="200"/>
        <w:rPr>
          <w:rFonts w:hint="eastAsia" w:ascii="仿宋" w:hAnsi="仿宋" w:eastAsia="仿宋"/>
          <w:sz w:val="32"/>
          <w:szCs w:val="32"/>
          <w:lang w:val="zh-CN"/>
        </w:rPr>
      </w:pPr>
    </w:p>
    <w:p>
      <w:pPr>
        <w:ind w:firstLine="640" w:firstLineChars="200"/>
        <w:rPr>
          <w:rFonts w:ascii="仿宋" w:hAnsi="仿宋" w:eastAsia="仿宋"/>
          <w:sz w:val="32"/>
          <w:szCs w:val="32"/>
          <w:lang w:val="zh-CN"/>
        </w:rPr>
      </w:pPr>
    </w:p>
    <w:p>
      <w:pPr>
        <w:jc w:val="center"/>
        <w:rPr>
          <w:rFonts w:ascii="仿宋" w:hAnsi="仿宋" w:eastAsia="仿宋"/>
          <w:b/>
          <w:sz w:val="32"/>
          <w:szCs w:val="32"/>
        </w:rPr>
      </w:pPr>
      <w:r>
        <w:rPr>
          <w:rFonts w:hint="eastAsia" w:ascii="仿宋" w:hAnsi="仿宋" w:eastAsia="仿宋"/>
          <w:b/>
          <w:sz w:val="32"/>
          <w:szCs w:val="32"/>
        </w:rPr>
        <w:t>客观评价</w:t>
      </w:r>
    </w:p>
    <w:p>
      <w:pPr>
        <w:ind w:firstLine="643" w:firstLineChars="200"/>
        <w:rPr>
          <w:rFonts w:ascii="仿宋" w:hAnsi="仿宋" w:eastAsia="仿宋"/>
          <w:b/>
          <w:sz w:val="32"/>
          <w:szCs w:val="32"/>
        </w:rPr>
      </w:pPr>
      <w:r>
        <w:rPr>
          <w:rFonts w:hint="eastAsia" w:ascii="仿宋" w:hAnsi="仿宋" w:eastAsia="仿宋"/>
          <w:b/>
          <w:sz w:val="32"/>
          <w:szCs w:val="32"/>
        </w:rPr>
        <w:t>（一）揭示了小分子对G-四链核酸的结构识别和调控的新机制（发现点1）</w:t>
      </w:r>
    </w:p>
    <w:p>
      <w:pPr>
        <w:ind w:firstLine="640" w:firstLineChars="200"/>
        <w:rPr>
          <w:rFonts w:ascii="仿宋" w:hAnsi="仿宋" w:eastAsia="仿宋"/>
          <w:sz w:val="32"/>
          <w:szCs w:val="32"/>
        </w:rPr>
      </w:pPr>
      <w:r>
        <w:rPr>
          <w:rFonts w:hint="eastAsia" w:ascii="仿宋" w:hAnsi="仿宋" w:eastAsia="仿宋"/>
          <w:sz w:val="32"/>
          <w:szCs w:val="32"/>
        </w:rPr>
        <w:t>1．代表性论文6发表后，被著名刊物Chemical Biology （2007, 2, B58.）以“Is the clock ticking for cancer cells?”为标题进行了专文详细介绍，认为“corrole化合物提供了非常重要的研究新平台”“The corrole system provides a very interesting new platform for this purpose and these cationic corrole derivatives have already exceeded the performance of the standard in the field, TMPyP4”。介绍的内容同时也在英国皇家学会Chemistry World网页（News, July 2007）和Chinese Science (Special issue, RSC, 2008, 6.) 上全文刊登，受到国际学术界好评（评价附件一）。英国皇家学会会员S. Balasubramanian教授和中国科学院院士支志明教授也在论文中引述了我们的工作（评价附件二）。</w:t>
      </w:r>
    </w:p>
    <w:p>
      <w:pPr>
        <w:ind w:firstLine="640" w:firstLineChars="200"/>
        <w:rPr>
          <w:rFonts w:ascii="仿宋" w:hAnsi="仿宋" w:eastAsia="仿宋"/>
          <w:sz w:val="32"/>
          <w:szCs w:val="32"/>
        </w:rPr>
      </w:pPr>
      <w:r>
        <w:rPr>
          <w:rFonts w:hint="eastAsia" w:ascii="仿宋" w:hAnsi="仿宋" w:eastAsia="仿宋"/>
          <w:sz w:val="32"/>
          <w:szCs w:val="32"/>
        </w:rPr>
        <w:t>2．代表性论文6及卟啉类化合物特异识别G-4 (ChemBioChem, 2006, 7, 1155) 的工作发表后，法国居里研究院 (Institut Curie) 化学实验室主任和法国国家科研中心（CNRS）研究部门研究主任Teulade-Fichou教授在“A hitchhiker’s guide to G-quadruplex ligands”(Org. Biomol. Chem., 2008, 6, 627 ) 一文中详细介绍了我们的工作，指出：吲哚并喹啉化合物被证明对端粒和癌基因启动区具有有效的稳定作用（quindolies ..whose efficiency has been demonstrated on telomeric c-myc promoter quadruplex）; 几个结构相关的配合物在过去几年被发现（Several structurally-related ligands have been described over the past years: the porphyrin TQMP68 and ……., as well as structurally-related corroles70 have also been described）（评价附件三）。</w:t>
      </w:r>
    </w:p>
    <w:p>
      <w:pPr>
        <w:ind w:firstLine="640" w:firstLineChars="200"/>
        <w:rPr>
          <w:rFonts w:ascii="仿宋" w:hAnsi="仿宋" w:eastAsia="仿宋"/>
          <w:sz w:val="32"/>
          <w:szCs w:val="32"/>
        </w:rPr>
      </w:pPr>
      <w:r>
        <w:rPr>
          <w:rFonts w:hint="eastAsia" w:ascii="仿宋" w:hAnsi="仿宋" w:eastAsia="仿宋"/>
          <w:sz w:val="32"/>
          <w:szCs w:val="32"/>
        </w:rPr>
        <w:t>3．酞菁配合物特异识别G-4 (ChemBioChem,2007, 8, 775)工作发表后，法国居里研究院 (Institut Curie) 化学实验室主任和国家科研中心（CNRS）研究部门研究主任Teulade-Fichou教授在论文（Org. Biomol. Chem., 2007, 5, 2555）给出评价“给这个领域研究赋予了非常大的促进”“gave much impetus to this approach”；英国帝国学院的Vilar教授认为工作“相比较原来报道的化合物显示出增加的对四链核酸的结合能力”（Angew. Chem. Int. Ed. 2010, 49, 4020 – 4034）（评价附件四）。</w:t>
      </w:r>
    </w:p>
    <w:p>
      <w:pPr>
        <w:ind w:firstLine="640" w:firstLineChars="200"/>
        <w:rPr>
          <w:rFonts w:ascii="仿宋" w:hAnsi="仿宋" w:eastAsia="仿宋"/>
          <w:sz w:val="32"/>
          <w:szCs w:val="32"/>
        </w:rPr>
      </w:pPr>
      <w:r>
        <w:rPr>
          <w:rFonts w:hint="eastAsia" w:ascii="仿宋" w:hAnsi="仿宋" w:eastAsia="仿宋"/>
          <w:sz w:val="32"/>
          <w:szCs w:val="32"/>
        </w:rPr>
        <w:t>4．靶向G-4结构的双钌配合物在Chem. Commun., 2010, 46, 743发表后，美国化学会Noteworthy Chemistry 周刊的点评(由中国科学院院士唐本忠教授点评)，报道我们的工作“发展了一个新的钌配合物，可以高选择性结合G-四链核酸”；并被Yan Xu教授在Chem. Soc. Rev., 2011, 40, 2719 中引用（评价附件五）。</w:t>
      </w:r>
    </w:p>
    <w:p>
      <w:pPr>
        <w:ind w:firstLine="640" w:firstLineChars="200"/>
        <w:rPr>
          <w:rFonts w:ascii="仿宋" w:hAnsi="仿宋" w:eastAsia="仿宋"/>
          <w:sz w:val="32"/>
          <w:szCs w:val="32"/>
        </w:rPr>
      </w:pPr>
      <w:r>
        <w:rPr>
          <w:rFonts w:hint="eastAsia" w:ascii="仿宋" w:hAnsi="仿宋" w:eastAsia="仿宋"/>
          <w:sz w:val="32"/>
          <w:szCs w:val="32"/>
        </w:rPr>
        <w:t>5. 代表性论文7发表后（Nucleic Acids Res., 2011, 39, 6229），诺贝尔奖获得者Cech教授（RNA具有生物催化作用的发现者）在Nat. Rev. Mol. Cell Bio.文章中评价“G-4在体外限制端粒酶的延伸(策略)，……在体内研究可能确实有用”。（“…..this could certainly be useful in vivo”）。（评价附件六）</w:t>
      </w:r>
    </w:p>
    <w:p>
      <w:pPr>
        <w:ind w:firstLine="640" w:firstLineChars="200"/>
        <w:rPr>
          <w:rFonts w:ascii="仿宋" w:hAnsi="仿宋" w:eastAsia="仿宋"/>
          <w:sz w:val="32"/>
          <w:szCs w:val="32"/>
        </w:rPr>
      </w:pPr>
      <w:r>
        <w:rPr>
          <w:rFonts w:hint="eastAsia" w:ascii="仿宋" w:hAnsi="仿宋" w:eastAsia="仿宋"/>
          <w:sz w:val="32"/>
          <w:szCs w:val="32"/>
        </w:rPr>
        <w:t>6．期刊Journal of Molecular Recognition每年对前一年的biosensor会作一个总结，在“Survey of the year 2006 commercial optical biosensor literature”和“Survey of the year 2007 commercial optical biosensor literature”都对我们在G-四链体稳定剂方面的多项工作进行收录（评价附件七）。</w:t>
      </w:r>
    </w:p>
    <w:p>
      <w:pPr>
        <w:ind w:firstLine="640" w:firstLineChars="200"/>
        <w:rPr>
          <w:rFonts w:ascii="仿宋" w:hAnsi="仿宋" w:eastAsia="仿宋"/>
          <w:sz w:val="32"/>
          <w:szCs w:val="32"/>
        </w:rPr>
      </w:pPr>
      <w:r>
        <w:rPr>
          <w:rFonts w:hint="eastAsia" w:ascii="仿宋" w:hAnsi="仿宋" w:eastAsia="仿宋"/>
          <w:sz w:val="32"/>
          <w:szCs w:val="32"/>
        </w:rPr>
        <w:t>7. 光调控G-4的工作 (Angew. Chem. Int. Ed., 2010, 49, 5305) 被编辑选为“Hot Paper”（评价附件八）被选为“Hot Paper”的标准是：在具有高度意义的研究领域的重要工作。（Hot Papers are chosen by the Editors for their importance in a rapidly evolving field of high current interest）</w:t>
      </w:r>
    </w:p>
    <w:p>
      <w:pPr>
        <w:ind w:firstLine="643" w:firstLineChars="200"/>
        <w:rPr>
          <w:rFonts w:ascii="仿宋" w:hAnsi="仿宋" w:eastAsia="仿宋"/>
          <w:b/>
          <w:sz w:val="32"/>
          <w:szCs w:val="32"/>
        </w:rPr>
      </w:pPr>
      <w:r>
        <w:rPr>
          <w:rFonts w:hint="eastAsia" w:ascii="仿宋" w:hAnsi="仿宋" w:eastAsia="仿宋"/>
          <w:b/>
          <w:sz w:val="32"/>
          <w:szCs w:val="32"/>
        </w:rPr>
        <w:t>（二）创建对肿瘤细胞具有特异杀伤作用的可诱导核酸交联剂新策略（发现点3）</w:t>
      </w:r>
    </w:p>
    <w:p>
      <w:pPr>
        <w:ind w:firstLine="640" w:firstLineChars="200"/>
        <w:rPr>
          <w:rFonts w:ascii="仿宋" w:hAnsi="仿宋" w:eastAsia="仿宋"/>
          <w:sz w:val="32"/>
          <w:szCs w:val="32"/>
        </w:rPr>
      </w:pPr>
      <w:r>
        <w:rPr>
          <w:rFonts w:hint="eastAsia" w:ascii="仿宋" w:hAnsi="仿宋" w:eastAsia="仿宋"/>
          <w:sz w:val="32"/>
          <w:szCs w:val="32"/>
        </w:rPr>
        <w:t>1．代表性论文1在发表以后，被美国化学会Heart Cut（2003年3月17日）专栏上，以“Light-induced cross-linking of DNA strands”为题对该工作做了推荐介绍。在Heart Cut（2003 年11 月24 日）期刊里，该评论文章被评为当年最好的评论文之一（Best of Heart Cut in 2003, 共评出九篇），其它被评为最佳的评论文是分别评论发表在Nature, J. Am. Chem. Soc., Angew. Chem., Int. Ed.等杂志上的文章）。（评价附件九）</w:t>
      </w:r>
    </w:p>
    <w:p>
      <w:pPr>
        <w:ind w:firstLine="640" w:firstLineChars="200"/>
        <w:rPr>
          <w:rFonts w:ascii="仿宋" w:hAnsi="仿宋" w:eastAsia="仿宋"/>
          <w:sz w:val="32"/>
          <w:szCs w:val="32"/>
        </w:rPr>
      </w:pPr>
      <w:r>
        <w:rPr>
          <w:rFonts w:hint="eastAsia" w:ascii="仿宋" w:hAnsi="仿宋" w:eastAsia="仿宋"/>
          <w:sz w:val="32"/>
          <w:szCs w:val="32"/>
        </w:rPr>
        <w:t>2．代表性论文1在发表以后，德国科学家Fuhrhop教授在Chemical Reviews (2004, 104, 2901)上撰写的综述“Bolaamphiphiles”中对该工作进行了充分肯定及详细介绍，认为是“提供了一个清楚的核酸交联范例”（It is water soluble and cross links DNA upon UV irradiation. It provides an example that clearly demonstrates what bolas essentially are, extended cross-linkers (Scheme 10)）。芝加哥大学著名化学生物学家何川教授也评价该化合物“exert their effects by creating DNA interstrand cross-links (J. Am. Chem. Soc. 2008, 130, 14398)”（评价附件十）。</w:t>
      </w:r>
    </w:p>
    <w:p>
      <w:pPr>
        <w:ind w:firstLine="640" w:firstLineChars="200"/>
        <w:rPr>
          <w:rFonts w:ascii="仿宋" w:hAnsi="仿宋" w:eastAsia="仿宋"/>
          <w:sz w:val="32"/>
          <w:szCs w:val="32"/>
        </w:rPr>
      </w:pPr>
      <w:r>
        <w:rPr>
          <w:rFonts w:hint="eastAsia" w:ascii="仿宋" w:hAnsi="仿宋" w:eastAsia="仿宋"/>
          <w:sz w:val="32"/>
          <w:szCs w:val="32"/>
        </w:rPr>
        <w:t>3．代表性论文1, 3发表后，被 Wiley出版社2009年出版的由美国马里兰大学化学与生物化学系Rokita教授（现在美国约翰霍普金斯大学化学系任职）主编的专著“Quinone Methides”对我们的工作也进行了多次引用和报导。在两个不同的章节中都引用了我们的工作，其中代表性论文1被介绍了两次。书中几个图表中也出现了我们设计合成的系列核酸交联剂分子。（评价附件十一）</w:t>
      </w:r>
    </w:p>
    <w:p>
      <w:pPr>
        <w:ind w:firstLine="643" w:firstLineChars="200"/>
        <w:rPr>
          <w:rFonts w:ascii="仿宋" w:hAnsi="仿宋" w:eastAsia="仿宋"/>
          <w:b/>
          <w:sz w:val="32"/>
          <w:szCs w:val="32"/>
        </w:rPr>
      </w:pPr>
      <w:r>
        <w:rPr>
          <w:rFonts w:hint="eastAsia" w:ascii="仿宋" w:hAnsi="仿宋" w:eastAsia="仿宋"/>
          <w:b/>
          <w:sz w:val="32"/>
          <w:szCs w:val="32"/>
        </w:rPr>
        <w:t>（三）创建基于核酸的疾病诊断新技术。（发现点4）</w:t>
      </w:r>
    </w:p>
    <w:p>
      <w:pPr>
        <w:ind w:firstLine="640" w:firstLineChars="200"/>
        <w:rPr>
          <w:rFonts w:ascii="仿宋" w:hAnsi="仿宋" w:eastAsia="仿宋"/>
          <w:sz w:val="32"/>
          <w:szCs w:val="32"/>
        </w:rPr>
      </w:pPr>
      <w:r>
        <w:rPr>
          <w:rFonts w:hint="eastAsia" w:ascii="仿宋" w:hAnsi="仿宋" w:eastAsia="仿宋"/>
          <w:sz w:val="32"/>
          <w:szCs w:val="32"/>
        </w:rPr>
        <w:t>1．建立高灵敏度DNA甲基化和羟甲基化的分析方法，发现肝脏组织中5-hmdc明显低于癌旁组织，并与肿瘤分期明显相关。(Clin Chem. 2013，59, 824). 研究成果被Feinberg教授（Nat. Rev. Cancer, 2013评价为：“尽管修饰DNA在大多数组织细胞中含量很低，但是最近建立的质谱分析方法实现了对组织细胞中低含量的修饰DNA高灵敏定量分析，并发现了修饰DNA在癌组织中降低的规律”。哈佛医学院的Mostoslavsky教授在Cell子刊Molecular Cell也评价该文“确实,研究在各种人类肿瘤中5hmC的减少作为表观遗传的特征”。（评价附件十二）</w:t>
      </w:r>
    </w:p>
    <w:p>
      <w:pPr>
        <w:ind w:firstLine="640" w:firstLineChars="200"/>
        <w:rPr>
          <w:rFonts w:ascii="仿宋" w:hAnsi="仿宋" w:eastAsia="仿宋"/>
          <w:sz w:val="32"/>
          <w:szCs w:val="32"/>
        </w:rPr>
      </w:pPr>
      <w:r>
        <w:rPr>
          <w:rFonts w:hint="eastAsia" w:ascii="仿宋" w:hAnsi="仿宋" w:eastAsia="仿宋"/>
          <w:sz w:val="32"/>
          <w:szCs w:val="32"/>
        </w:rPr>
        <w:t>2. 创建醛基修饰核酸的检测方法(Org. Lett. 2013, 15, 3266)，具有操作简单，检测灵敏等特点，相关论文被美国化学会ACS的JACS, JOC, OL联合精选的2014年Nucleic Acids: chemistry and applications 25篇“激动人心（exciting）”文章之一，并被评述为：这种荧光标记的检测方法，将会为破译表观遗传特征的调节机制铺平了道路(J. Org. Chem., 2013 78, 12283)。（评价附件十三）</w:t>
      </w:r>
    </w:p>
    <w:p>
      <w:pPr>
        <w:ind w:firstLine="640" w:firstLineChars="200"/>
        <w:rPr>
          <w:rFonts w:hint="eastAsia" w:ascii="仿宋" w:hAnsi="仿宋" w:eastAsia="仿宋"/>
          <w:sz w:val="32"/>
          <w:szCs w:val="32"/>
        </w:rPr>
      </w:pPr>
      <w:r>
        <w:rPr>
          <w:rFonts w:hint="eastAsia" w:ascii="仿宋" w:hAnsi="仿宋" w:eastAsia="仿宋"/>
          <w:sz w:val="32"/>
          <w:szCs w:val="32"/>
        </w:rPr>
        <w:t>3．代表性论文2发表后，被Indraneel Ghosh在J. Am. Chem. Soc. 2010, 132, 11692评价为一种“精巧策略”（elgant DNA-directed approach）的方法。被X. Chris Le(加拿大皇家科学院院士)在Chem. Rev. 2013, 113, 2812中引用; 被以色列科学院院士、德国科学院院士、欧洲科学院院士Willner教授在Chem. Rev. 2014, 114, 2881在论文中也引用我们的成果进行阐述。（评价附件十四）</w:t>
      </w:r>
    </w:p>
    <w:p>
      <w:pPr>
        <w:ind w:firstLine="640" w:firstLineChars="200"/>
        <w:rPr>
          <w:rFonts w:hint="eastAsia" w:ascii="仿宋" w:hAnsi="仿宋" w:eastAsia="仿宋"/>
          <w:sz w:val="32"/>
          <w:szCs w:val="32"/>
        </w:rPr>
      </w:pPr>
    </w:p>
    <w:p>
      <w:pPr>
        <w:ind w:firstLine="640" w:firstLineChars="200"/>
        <w:rPr>
          <w:rFonts w:hint="eastAsia" w:ascii="仿宋" w:hAnsi="仿宋" w:eastAsia="仿宋"/>
          <w:sz w:val="32"/>
          <w:szCs w:val="32"/>
        </w:rPr>
      </w:pPr>
    </w:p>
    <w:p>
      <w:pPr>
        <w:ind w:firstLine="640" w:firstLineChars="200"/>
        <w:rPr>
          <w:rFonts w:hint="eastAsia" w:ascii="仿宋" w:hAnsi="仿宋" w:eastAsia="仿宋"/>
          <w:sz w:val="32"/>
          <w:szCs w:val="32"/>
        </w:rPr>
      </w:pPr>
    </w:p>
    <w:p>
      <w:pPr>
        <w:ind w:firstLine="640" w:firstLineChars="200"/>
        <w:rPr>
          <w:rFonts w:hint="eastAsia" w:ascii="仿宋" w:hAnsi="仿宋" w:eastAsia="仿宋"/>
          <w:sz w:val="32"/>
          <w:szCs w:val="32"/>
        </w:rPr>
      </w:pPr>
    </w:p>
    <w:p>
      <w:pPr>
        <w:ind w:firstLine="640" w:firstLineChars="200"/>
        <w:rPr>
          <w:rFonts w:hint="eastAsia" w:ascii="仿宋" w:hAnsi="仿宋" w:eastAsia="仿宋"/>
          <w:sz w:val="32"/>
          <w:szCs w:val="32"/>
        </w:rPr>
      </w:pPr>
    </w:p>
    <w:p>
      <w:pPr>
        <w:ind w:firstLine="640" w:firstLineChars="200"/>
        <w:rPr>
          <w:rFonts w:hint="eastAsia" w:ascii="仿宋" w:hAnsi="仿宋" w:eastAsia="仿宋"/>
          <w:sz w:val="32"/>
          <w:szCs w:val="32"/>
        </w:rPr>
      </w:pPr>
    </w:p>
    <w:p>
      <w:pPr>
        <w:ind w:firstLine="640" w:firstLineChars="200"/>
        <w:rPr>
          <w:rFonts w:hint="eastAsia" w:ascii="仿宋" w:hAnsi="仿宋" w:eastAsia="仿宋"/>
          <w:sz w:val="32"/>
          <w:szCs w:val="32"/>
        </w:rPr>
      </w:pPr>
    </w:p>
    <w:p>
      <w:pPr>
        <w:ind w:firstLine="640" w:firstLineChars="200"/>
        <w:rPr>
          <w:rFonts w:hint="eastAsia" w:ascii="仿宋" w:hAnsi="仿宋" w:eastAsia="仿宋"/>
          <w:sz w:val="32"/>
          <w:szCs w:val="32"/>
        </w:rPr>
      </w:pPr>
    </w:p>
    <w:p>
      <w:pPr>
        <w:ind w:firstLine="640" w:firstLineChars="200"/>
        <w:rPr>
          <w:rFonts w:hint="eastAsia" w:ascii="仿宋" w:hAnsi="仿宋" w:eastAsia="仿宋"/>
          <w:sz w:val="32"/>
          <w:szCs w:val="32"/>
        </w:rPr>
      </w:pPr>
    </w:p>
    <w:p>
      <w:pPr>
        <w:ind w:firstLine="640" w:firstLineChars="200"/>
        <w:rPr>
          <w:rFonts w:ascii="仿宋" w:hAnsi="仿宋" w:eastAsia="仿宋"/>
          <w:sz w:val="32"/>
          <w:szCs w:val="32"/>
        </w:rPr>
      </w:pPr>
    </w:p>
    <w:p>
      <w:pPr>
        <w:jc w:val="center"/>
        <w:rPr>
          <w:rFonts w:ascii="仿宋" w:hAnsi="仿宋" w:eastAsia="仿宋"/>
          <w:b/>
          <w:sz w:val="32"/>
          <w:szCs w:val="32"/>
        </w:rPr>
      </w:pPr>
      <w:r>
        <w:rPr>
          <w:rFonts w:hint="eastAsia" w:ascii="仿宋" w:hAnsi="仿宋" w:eastAsia="仿宋"/>
          <w:b/>
          <w:sz w:val="32"/>
          <w:szCs w:val="32"/>
        </w:rPr>
        <w:t>代表性论文专著目录</w:t>
      </w:r>
    </w:p>
    <w:tbl>
      <w:tblPr>
        <w:tblStyle w:val="28"/>
        <w:tblW w:w="90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2427"/>
        <w:gridCol w:w="835"/>
        <w:gridCol w:w="1269"/>
        <w:gridCol w:w="635"/>
        <w:gridCol w:w="429"/>
        <w:gridCol w:w="429"/>
        <w:gridCol w:w="1048"/>
        <w:gridCol w:w="571"/>
        <w:gridCol w:w="532"/>
        <w:gridCol w:w="4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序号</w:t>
            </w:r>
          </w:p>
        </w:tc>
        <w:tc>
          <w:tcPr>
            <w:tcW w:w="2427"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论文专著</w:t>
            </w:r>
          </w:p>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名称/刊名</w:t>
            </w:r>
          </w:p>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/作者</w:t>
            </w:r>
          </w:p>
        </w:tc>
        <w:tc>
          <w:tcPr>
            <w:tcW w:w="835"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影响因子</w:t>
            </w:r>
          </w:p>
        </w:tc>
        <w:tc>
          <w:tcPr>
            <w:tcW w:w="126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年卷页码</w:t>
            </w:r>
          </w:p>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（xx年xx卷</w:t>
            </w:r>
          </w:p>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xx页）</w:t>
            </w:r>
          </w:p>
        </w:tc>
        <w:tc>
          <w:tcPr>
            <w:tcW w:w="635"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发表时间年月日</w:t>
            </w:r>
          </w:p>
        </w:tc>
        <w:tc>
          <w:tcPr>
            <w:tcW w:w="42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通讯作者</w:t>
            </w:r>
          </w:p>
        </w:tc>
        <w:tc>
          <w:tcPr>
            <w:tcW w:w="42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第一作者</w:t>
            </w:r>
          </w:p>
        </w:tc>
        <w:tc>
          <w:tcPr>
            <w:tcW w:w="1048"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国内作者</w:t>
            </w:r>
          </w:p>
        </w:tc>
        <w:tc>
          <w:tcPr>
            <w:tcW w:w="571"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SCI</w:t>
            </w:r>
          </w:p>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他引次数</w:t>
            </w:r>
          </w:p>
        </w:tc>
        <w:tc>
          <w:tcPr>
            <w:tcW w:w="532"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他引总次数</w:t>
            </w:r>
          </w:p>
        </w:tc>
        <w:tc>
          <w:tcPr>
            <w:tcW w:w="435" w:type="dxa"/>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知识产权是否归国内所有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49" w:hRule="exact"/>
          <w:jc w:val="center"/>
        </w:trPr>
        <w:tc>
          <w:tcPr>
            <w:tcW w:w="42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1</w:t>
            </w:r>
          </w:p>
        </w:tc>
        <w:tc>
          <w:tcPr>
            <w:tcW w:w="2427"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A Potent Water-soluble and Photoinducible DNA Cross-linking Agent,</w:t>
            </w:r>
            <w:r>
              <w:rPr>
                <w:rFonts w:ascii="Times New Roman"/>
                <w:i/>
                <w:iCs/>
                <w:color w:val="0D0D0D"/>
                <w:sz w:val="18"/>
                <w:szCs w:val="18"/>
              </w:rPr>
              <w:t xml:space="preserve"> J. Am. Chem. Soc</w:t>
            </w:r>
            <w:r>
              <w:rPr>
                <w:rFonts w:ascii="Times New Roman"/>
                <w:color w:val="0D0D0D"/>
                <w:sz w:val="18"/>
                <w:szCs w:val="18"/>
              </w:rPr>
              <w:t>., Ping Wang, Renpeng Liu, Xiaojun Wu, Hongjuan Ma, Xiaoping Cao, Ping Zhou, Jiangye Zhang, Xiaocheng Weng, Xiao-Lian Zhang, Jun Qi, Xiang Zhou,*, and Linhong Weng</w:t>
            </w:r>
          </w:p>
        </w:tc>
        <w:tc>
          <w:tcPr>
            <w:tcW w:w="835" w:type="dxa"/>
            <w:vAlign w:val="center"/>
          </w:tcPr>
          <w:p>
            <w:pPr>
              <w:pStyle w:val="12"/>
              <w:adjustRightInd w:val="0"/>
              <w:spacing w:line="360" w:lineRule="atLeast"/>
              <w:ind w:firstLine="0" w:firstLineChars="0"/>
              <w:jc w:val="center"/>
              <w:rPr>
                <w:rFonts w:ascii="Times New Roman"/>
                <w:b/>
                <w:color w:val="0D0D0D"/>
                <w:sz w:val="18"/>
                <w:szCs w:val="18"/>
              </w:rPr>
            </w:pPr>
            <w:r>
              <w:rPr>
                <w:rFonts w:ascii="Times New Roman"/>
                <w:b/>
                <w:color w:val="0D0D0D"/>
                <w:sz w:val="18"/>
                <w:szCs w:val="18"/>
              </w:rPr>
              <w:t>13.038</w:t>
            </w:r>
          </w:p>
        </w:tc>
        <w:tc>
          <w:tcPr>
            <w:tcW w:w="126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b/>
                <w:bCs/>
                <w:color w:val="0D0D0D"/>
                <w:sz w:val="18"/>
                <w:szCs w:val="18"/>
              </w:rPr>
              <w:t>2003</w:t>
            </w:r>
            <w:r>
              <w:rPr>
                <w:rFonts w:ascii="Times New Roman"/>
                <w:color w:val="0D0D0D"/>
                <w:sz w:val="18"/>
                <w:szCs w:val="18"/>
              </w:rPr>
              <w:t>, 125, 1116</w:t>
            </w:r>
          </w:p>
        </w:tc>
        <w:tc>
          <w:tcPr>
            <w:tcW w:w="635"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2003</w:t>
            </w:r>
          </w:p>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-02</w:t>
            </w:r>
          </w:p>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-05</w:t>
            </w:r>
          </w:p>
        </w:tc>
        <w:tc>
          <w:tcPr>
            <w:tcW w:w="42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周翔</w:t>
            </w:r>
          </w:p>
        </w:tc>
        <w:tc>
          <w:tcPr>
            <w:tcW w:w="42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汪萍</w:t>
            </w:r>
          </w:p>
        </w:tc>
        <w:tc>
          <w:tcPr>
            <w:tcW w:w="1048"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汪萍，刘仁鹏，吴晓军，马红娟，曹小平，周平，张剑晔，翁小成，章晓联，周翔，翁林红</w:t>
            </w:r>
          </w:p>
        </w:tc>
        <w:tc>
          <w:tcPr>
            <w:tcW w:w="571"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55</w:t>
            </w:r>
          </w:p>
        </w:tc>
        <w:tc>
          <w:tcPr>
            <w:tcW w:w="532"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66</w:t>
            </w:r>
          </w:p>
        </w:tc>
        <w:tc>
          <w:tcPr>
            <w:tcW w:w="435"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5" w:hRule="exact"/>
          <w:jc w:val="center"/>
        </w:trPr>
        <w:tc>
          <w:tcPr>
            <w:tcW w:w="42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2</w:t>
            </w:r>
          </w:p>
        </w:tc>
        <w:tc>
          <w:tcPr>
            <w:tcW w:w="2427"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 xml:space="preserve">Highly Effective Colorimetric and Visual Detection of Nucleic Acids Using an Asymmetrically Split Peroxidase DNAzyme, </w:t>
            </w:r>
            <w:r>
              <w:rPr>
                <w:rFonts w:ascii="Times New Roman"/>
                <w:i/>
                <w:color w:val="0D0D0D"/>
                <w:sz w:val="18"/>
                <w:szCs w:val="18"/>
              </w:rPr>
              <w:t>J. Am. Chem. Soc</w:t>
            </w:r>
            <w:r>
              <w:rPr>
                <w:rFonts w:ascii="Times New Roman"/>
                <w:color w:val="0D0D0D"/>
                <w:sz w:val="18"/>
                <w:szCs w:val="18"/>
              </w:rPr>
              <w:t>. Minggang Deng, Dan Zhang, Yangyang Zhou, Xiang Zhou*</w:t>
            </w:r>
          </w:p>
        </w:tc>
        <w:tc>
          <w:tcPr>
            <w:tcW w:w="835" w:type="dxa"/>
            <w:vAlign w:val="center"/>
          </w:tcPr>
          <w:p>
            <w:pPr>
              <w:pStyle w:val="12"/>
              <w:adjustRightInd w:val="0"/>
              <w:spacing w:line="360" w:lineRule="atLeast"/>
              <w:ind w:firstLine="0" w:firstLineChars="0"/>
              <w:jc w:val="center"/>
              <w:rPr>
                <w:rFonts w:ascii="Times New Roman"/>
                <w:b/>
                <w:color w:val="0D0D0D"/>
                <w:sz w:val="18"/>
                <w:szCs w:val="18"/>
              </w:rPr>
            </w:pPr>
            <w:r>
              <w:rPr>
                <w:rFonts w:ascii="Times New Roman"/>
                <w:b/>
                <w:color w:val="0D0D0D"/>
                <w:sz w:val="18"/>
                <w:szCs w:val="18"/>
              </w:rPr>
              <w:t>13.038</w:t>
            </w:r>
          </w:p>
        </w:tc>
        <w:tc>
          <w:tcPr>
            <w:tcW w:w="126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b/>
                <w:color w:val="0D0D0D"/>
                <w:sz w:val="18"/>
                <w:szCs w:val="18"/>
              </w:rPr>
              <w:t>2008</w:t>
            </w:r>
            <w:r>
              <w:rPr>
                <w:rFonts w:ascii="Times New Roman"/>
                <w:color w:val="0D0D0D"/>
                <w:sz w:val="18"/>
                <w:szCs w:val="18"/>
              </w:rPr>
              <w:t>, 130, 13095.</w:t>
            </w:r>
          </w:p>
        </w:tc>
        <w:tc>
          <w:tcPr>
            <w:tcW w:w="635"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2008</w:t>
            </w:r>
          </w:p>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-10</w:t>
            </w:r>
          </w:p>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-01</w:t>
            </w:r>
          </w:p>
        </w:tc>
        <w:tc>
          <w:tcPr>
            <w:tcW w:w="42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周翔</w:t>
            </w:r>
          </w:p>
        </w:tc>
        <w:tc>
          <w:tcPr>
            <w:tcW w:w="42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邓明刚</w:t>
            </w:r>
          </w:p>
        </w:tc>
        <w:tc>
          <w:tcPr>
            <w:tcW w:w="1048"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邓明刚，章丹，周泱泱，周翔</w:t>
            </w:r>
          </w:p>
        </w:tc>
        <w:tc>
          <w:tcPr>
            <w:tcW w:w="571"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152</w:t>
            </w:r>
          </w:p>
        </w:tc>
        <w:tc>
          <w:tcPr>
            <w:tcW w:w="532"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176</w:t>
            </w:r>
          </w:p>
        </w:tc>
        <w:tc>
          <w:tcPr>
            <w:tcW w:w="435"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62" w:hRule="exact"/>
          <w:jc w:val="center"/>
        </w:trPr>
        <w:tc>
          <w:tcPr>
            <w:tcW w:w="42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3</w:t>
            </w:r>
          </w:p>
        </w:tc>
        <w:tc>
          <w:tcPr>
            <w:tcW w:w="2427" w:type="dxa"/>
            <w:vAlign w:val="center"/>
          </w:tcPr>
          <w:p>
            <w:pPr>
              <w:pStyle w:val="12"/>
              <w:adjustRightInd w:val="0"/>
              <w:spacing w:line="360" w:lineRule="atLeast"/>
              <w:ind w:left="-15" w:leftChars="-47" w:hanging="84" w:hangingChars="47"/>
              <w:jc w:val="center"/>
              <w:rPr>
                <w:rFonts w:ascii="Times New Roman"/>
                <w:color w:val="0D0D0D"/>
                <w:sz w:val="18"/>
                <w:szCs w:val="18"/>
              </w:rPr>
            </w:pPr>
            <w:r>
              <w:rPr>
                <w:rFonts w:ascii="Times New Roman"/>
                <w:color w:val="0D0D0D"/>
                <w:sz w:val="18"/>
                <w:szCs w:val="18"/>
              </w:rPr>
              <w:t xml:space="preserve">Synthesis and Biological Studies of New Inducible DNA Cross-linking Agents”, </w:t>
            </w:r>
            <w:r>
              <w:rPr>
                <w:rFonts w:ascii="Times New Roman"/>
                <w:i/>
                <w:color w:val="0D0D0D"/>
                <w:sz w:val="18"/>
                <w:szCs w:val="18"/>
              </w:rPr>
              <w:t>Angew. Chem. Int. Ed</w:t>
            </w:r>
            <w:r>
              <w:rPr>
                <w:rFonts w:ascii="Times New Roman"/>
                <w:color w:val="0D0D0D"/>
                <w:sz w:val="18"/>
                <w:szCs w:val="18"/>
              </w:rPr>
              <w:t>. Xiaocheng Weng, Lige Ren, Liwei Weng, Jing Huang, Shugao Zhu, Xiang Zhou,* and Linhong Weng</w:t>
            </w:r>
          </w:p>
        </w:tc>
        <w:tc>
          <w:tcPr>
            <w:tcW w:w="835"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b/>
                <w:color w:val="0D0D0D"/>
                <w:sz w:val="18"/>
                <w:szCs w:val="18"/>
              </w:rPr>
              <w:t>11.709</w:t>
            </w:r>
          </w:p>
        </w:tc>
        <w:tc>
          <w:tcPr>
            <w:tcW w:w="126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b/>
                <w:color w:val="0D0D0D"/>
                <w:sz w:val="18"/>
                <w:szCs w:val="18"/>
              </w:rPr>
              <w:t>2007</w:t>
            </w:r>
            <w:r>
              <w:rPr>
                <w:rFonts w:ascii="Times New Roman"/>
                <w:color w:val="0D0D0D"/>
                <w:sz w:val="18"/>
                <w:szCs w:val="18"/>
              </w:rPr>
              <w:t>, 46, 8020</w:t>
            </w:r>
          </w:p>
        </w:tc>
        <w:tc>
          <w:tcPr>
            <w:tcW w:w="635"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2007</w:t>
            </w:r>
          </w:p>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-09</w:t>
            </w:r>
          </w:p>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-13</w:t>
            </w:r>
          </w:p>
        </w:tc>
        <w:tc>
          <w:tcPr>
            <w:tcW w:w="42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周翔</w:t>
            </w:r>
          </w:p>
        </w:tc>
        <w:tc>
          <w:tcPr>
            <w:tcW w:w="42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翁小成</w:t>
            </w:r>
          </w:p>
        </w:tc>
        <w:tc>
          <w:tcPr>
            <w:tcW w:w="1048"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翁小成，任丽鸽，翁立伟，黄静，朱书高，周翔，翁林红</w:t>
            </w:r>
          </w:p>
        </w:tc>
        <w:tc>
          <w:tcPr>
            <w:tcW w:w="571"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37</w:t>
            </w:r>
          </w:p>
        </w:tc>
        <w:tc>
          <w:tcPr>
            <w:tcW w:w="532"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50</w:t>
            </w:r>
          </w:p>
        </w:tc>
        <w:tc>
          <w:tcPr>
            <w:tcW w:w="435"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5" w:hRule="exact"/>
          <w:jc w:val="center"/>
        </w:trPr>
        <w:tc>
          <w:tcPr>
            <w:tcW w:w="42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4</w:t>
            </w:r>
          </w:p>
        </w:tc>
        <w:tc>
          <w:tcPr>
            <w:tcW w:w="2427"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Kinetic and Thermo- dynamic Control of G- quadruplex Folding /</w:t>
            </w:r>
            <w:r>
              <w:rPr>
                <w:rFonts w:ascii="Times New Roman"/>
                <w:i/>
                <w:color w:val="0D0D0D"/>
                <w:sz w:val="18"/>
                <w:szCs w:val="18"/>
              </w:rPr>
              <w:t xml:space="preserve"> Angew. Chem. Int.Ed</w:t>
            </w:r>
            <w:r>
              <w:rPr>
                <w:rFonts w:ascii="Times New Roman"/>
                <w:color w:val="0D0D0D"/>
                <w:sz w:val="18"/>
                <w:szCs w:val="18"/>
              </w:rPr>
              <w:t>. Yong Xue, Jiaquan Liu, Kewei Zheng, Zhong yuan Kan, Yuhua Hao and Zheng Tan*</w:t>
            </w:r>
          </w:p>
        </w:tc>
        <w:tc>
          <w:tcPr>
            <w:tcW w:w="835" w:type="dxa"/>
            <w:vAlign w:val="center"/>
          </w:tcPr>
          <w:p>
            <w:pPr>
              <w:pStyle w:val="12"/>
              <w:adjustRightInd w:val="0"/>
              <w:spacing w:line="360" w:lineRule="atLeast"/>
              <w:ind w:firstLine="0" w:firstLineChars="0"/>
              <w:jc w:val="center"/>
              <w:rPr>
                <w:rFonts w:ascii="Times New Roman"/>
                <w:b/>
                <w:color w:val="0D0D0D"/>
                <w:sz w:val="18"/>
                <w:szCs w:val="18"/>
              </w:rPr>
            </w:pPr>
            <w:r>
              <w:rPr>
                <w:rFonts w:ascii="Times New Roman"/>
                <w:b/>
                <w:color w:val="0D0D0D"/>
                <w:sz w:val="18"/>
                <w:szCs w:val="18"/>
              </w:rPr>
              <w:t>11.709</w:t>
            </w:r>
          </w:p>
        </w:tc>
        <w:tc>
          <w:tcPr>
            <w:tcW w:w="126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b/>
                <w:color w:val="0D0D0D"/>
                <w:sz w:val="18"/>
                <w:szCs w:val="18"/>
              </w:rPr>
              <w:t>2011</w:t>
            </w:r>
            <w:r>
              <w:rPr>
                <w:rFonts w:ascii="Times New Roman"/>
                <w:color w:val="0D0D0D"/>
                <w:sz w:val="18"/>
                <w:szCs w:val="18"/>
              </w:rPr>
              <w:t>, 50, 8046-8050</w:t>
            </w:r>
          </w:p>
        </w:tc>
        <w:tc>
          <w:tcPr>
            <w:tcW w:w="635"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2011</w:t>
            </w:r>
          </w:p>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-07</w:t>
            </w:r>
          </w:p>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-14</w:t>
            </w:r>
          </w:p>
        </w:tc>
        <w:tc>
          <w:tcPr>
            <w:tcW w:w="42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谭诤</w:t>
            </w:r>
          </w:p>
        </w:tc>
        <w:tc>
          <w:tcPr>
            <w:tcW w:w="42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薛勇</w:t>
            </w:r>
          </w:p>
        </w:tc>
        <w:tc>
          <w:tcPr>
            <w:tcW w:w="1048"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薛勇，刘珈泉，郑克威，阚中原，郝玉华，谭铮</w:t>
            </w:r>
          </w:p>
        </w:tc>
        <w:tc>
          <w:tcPr>
            <w:tcW w:w="571" w:type="dxa"/>
          </w:tcPr>
          <w:p>
            <w:pPr>
              <w:spacing w:line="360" w:lineRule="atLeast"/>
              <w:rPr>
                <w:rFonts w:ascii="Times New Roman" w:hAnsi="Times New Roman" w:eastAsia="宋体" w:cs="Times New Roman"/>
                <w:sz w:val="18"/>
                <w:szCs w:val="18"/>
              </w:rPr>
            </w:pPr>
            <w:r>
              <w:rPr>
                <w:rFonts w:ascii="Times New Roman" w:hAnsi="Times New Roman" w:eastAsia="宋体" w:cs="Times New Roman"/>
                <w:sz w:val="18"/>
                <w:szCs w:val="18"/>
              </w:rPr>
              <w:t>23</w:t>
            </w:r>
          </w:p>
        </w:tc>
        <w:tc>
          <w:tcPr>
            <w:tcW w:w="532" w:type="dxa"/>
          </w:tcPr>
          <w:p>
            <w:pPr>
              <w:spacing w:line="360" w:lineRule="atLeast"/>
              <w:rPr>
                <w:rFonts w:ascii="Times New Roman" w:hAnsi="Times New Roman" w:eastAsia="宋体" w:cs="Times New Roman"/>
                <w:sz w:val="18"/>
                <w:szCs w:val="18"/>
              </w:rPr>
            </w:pPr>
            <w:r>
              <w:rPr>
                <w:rFonts w:ascii="Times New Roman" w:hAnsi="Times New Roman" w:eastAsia="宋体" w:cs="Times New Roman"/>
                <w:sz w:val="18"/>
                <w:szCs w:val="18"/>
              </w:rPr>
              <w:t>24</w:t>
            </w:r>
          </w:p>
        </w:tc>
        <w:tc>
          <w:tcPr>
            <w:tcW w:w="435"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48" w:hRule="exact"/>
          <w:jc w:val="center"/>
        </w:trPr>
        <w:tc>
          <w:tcPr>
            <w:tcW w:w="42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5</w:t>
            </w:r>
          </w:p>
        </w:tc>
        <w:tc>
          <w:tcPr>
            <w:tcW w:w="2427"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 xml:space="preserve">Telomere- and telomerase-interacting protein that unfolds telomere G-quadruplex and promotes telomere extension in mammalian cells, </w:t>
            </w:r>
            <w:r>
              <w:rPr>
                <w:rFonts w:ascii="Times New Roman"/>
                <w:i/>
                <w:color w:val="0D0D0D"/>
                <w:sz w:val="18"/>
                <w:szCs w:val="18"/>
              </w:rPr>
              <w:t>PNAS</w:t>
            </w:r>
            <w:r>
              <w:rPr>
                <w:rFonts w:ascii="Times New Roman"/>
                <w:color w:val="0D0D0D"/>
                <w:sz w:val="18"/>
                <w:szCs w:val="18"/>
              </w:rPr>
              <w:t>, Feng Wang, Mingliang Tang, Zhixiong Zeng, Renyi Wu, Yong Xue, Yu-hua Hao, DaiWen Pang, Yong Zhao, and Zheng Tan*</w:t>
            </w:r>
          </w:p>
        </w:tc>
        <w:tc>
          <w:tcPr>
            <w:tcW w:w="835" w:type="dxa"/>
            <w:vAlign w:val="center"/>
          </w:tcPr>
          <w:p>
            <w:pPr>
              <w:pStyle w:val="12"/>
              <w:adjustRightInd w:val="0"/>
              <w:spacing w:line="360" w:lineRule="atLeast"/>
              <w:ind w:firstLine="0" w:firstLineChars="0"/>
              <w:jc w:val="center"/>
              <w:rPr>
                <w:rFonts w:ascii="Times New Roman"/>
                <w:b/>
                <w:color w:val="0D0D0D"/>
                <w:sz w:val="18"/>
                <w:szCs w:val="18"/>
              </w:rPr>
            </w:pPr>
            <w:r>
              <w:rPr>
                <w:rFonts w:ascii="Times New Roman"/>
                <w:b/>
                <w:color w:val="0D0D0D"/>
                <w:sz w:val="18"/>
                <w:szCs w:val="18"/>
              </w:rPr>
              <w:t>9.423</w:t>
            </w:r>
          </w:p>
        </w:tc>
        <w:tc>
          <w:tcPr>
            <w:tcW w:w="126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b/>
                <w:color w:val="0D0D0D"/>
                <w:sz w:val="18"/>
                <w:szCs w:val="18"/>
              </w:rPr>
              <w:t>2012</w:t>
            </w:r>
            <w:r>
              <w:rPr>
                <w:rFonts w:ascii="Times New Roman"/>
                <w:color w:val="0D0D0D"/>
                <w:sz w:val="18"/>
                <w:szCs w:val="18"/>
              </w:rPr>
              <w:t>, 109 , 20413-20418</w:t>
            </w:r>
          </w:p>
        </w:tc>
        <w:tc>
          <w:tcPr>
            <w:tcW w:w="635"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2012</w:t>
            </w:r>
          </w:p>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-10</w:t>
            </w:r>
          </w:p>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-31</w:t>
            </w:r>
          </w:p>
        </w:tc>
        <w:tc>
          <w:tcPr>
            <w:tcW w:w="42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谭诤/赵勇</w:t>
            </w:r>
          </w:p>
        </w:tc>
        <w:tc>
          <w:tcPr>
            <w:tcW w:w="42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王峰/汤明亮/曾志雄</w:t>
            </w:r>
          </w:p>
        </w:tc>
        <w:tc>
          <w:tcPr>
            <w:tcW w:w="1048"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王峰，汤明亮，曾志雄，吴任乙，薛勇，郝玉华，庞代文，赵勇，谭铮</w:t>
            </w:r>
          </w:p>
        </w:tc>
        <w:tc>
          <w:tcPr>
            <w:tcW w:w="571" w:type="dxa"/>
          </w:tcPr>
          <w:p>
            <w:pPr>
              <w:spacing w:line="360" w:lineRule="atLeast"/>
              <w:rPr>
                <w:rFonts w:ascii="Times New Roman" w:hAnsi="Times New Roman" w:eastAsia="宋体" w:cs="Times New Roman"/>
                <w:sz w:val="18"/>
                <w:szCs w:val="18"/>
              </w:rPr>
            </w:pPr>
            <w:r>
              <w:rPr>
                <w:rFonts w:ascii="Times New Roman" w:hAnsi="Times New Roman" w:eastAsia="宋体" w:cs="Times New Roman"/>
                <w:sz w:val="18"/>
                <w:szCs w:val="18"/>
              </w:rPr>
              <w:t>10</w:t>
            </w:r>
          </w:p>
        </w:tc>
        <w:tc>
          <w:tcPr>
            <w:tcW w:w="532" w:type="dxa"/>
          </w:tcPr>
          <w:p>
            <w:pPr>
              <w:spacing w:line="360" w:lineRule="atLeast"/>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435"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2" w:hRule="exact"/>
          <w:jc w:val="center"/>
        </w:trPr>
        <w:tc>
          <w:tcPr>
            <w:tcW w:w="42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6</w:t>
            </w:r>
          </w:p>
        </w:tc>
        <w:tc>
          <w:tcPr>
            <w:tcW w:w="2427"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 xml:space="preserve">Cationic Corrole Derivatives: A New Family of G-quadruplex Inducing and Stabilising Ligands, </w:t>
            </w:r>
            <w:r>
              <w:rPr>
                <w:rFonts w:ascii="Times New Roman"/>
                <w:i/>
                <w:color w:val="0D0D0D"/>
                <w:sz w:val="18"/>
                <w:szCs w:val="18"/>
              </w:rPr>
              <w:t>Chem. Commun</w:t>
            </w:r>
            <w:r>
              <w:rPr>
                <w:rFonts w:ascii="Times New Roman"/>
                <w:color w:val="0D0D0D"/>
                <w:sz w:val="18"/>
                <w:szCs w:val="18"/>
              </w:rPr>
              <w:t>. Boqiao Fu, Jing Huang, Lige Ren,  Xiaocheng Weng, Yangyang Zhou, Yuhao Du, Xiaojun Wu,  Xiang Zhou*， Guangfu Yang,</w:t>
            </w:r>
          </w:p>
        </w:tc>
        <w:tc>
          <w:tcPr>
            <w:tcW w:w="835" w:type="dxa"/>
            <w:vAlign w:val="center"/>
          </w:tcPr>
          <w:p>
            <w:pPr>
              <w:pStyle w:val="12"/>
              <w:adjustRightInd w:val="0"/>
              <w:spacing w:line="360" w:lineRule="atLeast"/>
              <w:ind w:firstLine="0" w:firstLineChars="0"/>
              <w:jc w:val="center"/>
              <w:rPr>
                <w:rFonts w:ascii="Times New Roman"/>
                <w:b/>
                <w:color w:val="0D0D0D"/>
                <w:sz w:val="18"/>
                <w:szCs w:val="18"/>
              </w:rPr>
            </w:pPr>
            <w:r>
              <w:rPr>
                <w:rFonts w:ascii="Times New Roman"/>
                <w:b/>
                <w:color w:val="0D0D0D"/>
                <w:sz w:val="18"/>
                <w:szCs w:val="18"/>
              </w:rPr>
              <w:t>6.567</w:t>
            </w:r>
          </w:p>
        </w:tc>
        <w:tc>
          <w:tcPr>
            <w:tcW w:w="126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b/>
                <w:color w:val="0D0D0D"/>
                <w:sz w:val="18"/>
                <w:szCs w:val="18"/>
              </w:rPr>
              <w:t>2007</w:t>
            </w:r>
            <w:r>
              <w:rPr>
                <w:rFonts w:ascii="Times New Roman"/>
                <w:color w:val="0D0D0D"/>
                <w:sz w:val="18"/>
                <w:szCs w:val="18"/>
              </w:rPr>
              <w:t>, 3264.</w:t>
            </w:r>
          </w:p>
        </w:tc>
        <w:tc>
          <w:tcPr>
            <w:tcW w:w="635"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2007</w:t>
            </w:r>
          </w:p>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-06</w:t>
            </w:r>
          </w:p>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-06</w:t>
            </w:r>
          </w:p>
        </w:tc>
        <w:tc>
          <w:tcPr>
            <w:tcW w:w="42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周翔</w:t>
            </w:r>
          </w:p>
        </w:tc>
        <w:tc>
          <w:tcPr>
            <w:tcW w:w="42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付伯桥</w:t>
            </w:r>
          </w:p>
        </w:tc>
        <w:tc>
          <w:tcPr>
            <w:tcW w:w="1048"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付伯桥，黄静，任丽鸽，翁小成，周泱泱，杜宇昊，吴晓军，周翔，杨光富</w:t>
            </w:r>
          </w:p>
        </w:tc>
        <w:tc>
          <w:tcPr>
            <w:tcW w:w="571" w:type="dxa"/>
          </w:tcPr>
          <w:p>
            <w:pPr>
              <w:spacing w:line="360" w:lineRule="atLeast"/>
              <w:rPr>
                <w:rFonts w:ascii="Times New Roman" w:hAnsi="Times New Roman" w:eastAsia="宋体" w:cs="Times New Roman"/>
                <w:sz w:val="18"/>
                <w:szCs w:val="18"/>
              </w:rPr>
            </w:pPr>
            <w:r>
              <w:rPr>
                <w:rFonts w:ascii="Times New Roman" w:hAnsi="Times New Roman" w:eastAsia="宋体" w:cs="Times New Roman"/>
                <w:sz w:val="18"/>
                <w:szCs w:val="18"/>
              </w:rPr>
              <w:t>59</w:t>
            </w:r>
          </w:p>
        </w:tc>
        <w:tc>
          <w:tcPr>
            <w:tcW w:w="532" w:type="dxa"/>
          </w:tcPr>
          <w:p>
            <w:pPr>
              <w:spacing w:line="360" w:lineRule="atLeast"/>
              <w:rPr>
                <w:rFonts w:ascii="Times New Roman" w:hAnsi="Times New Roman" w:eastAsia="宋体" w:cs="Times New Roman"/>
                <w:sz w:val="18"/>
                <w:szCs w:val="18"/>
              </w:rPr>
            </w:pPr>
            <w:r>
              <w:rPr>
                <w:rFonts w:ascii="Times New Roman" w:hAnsi="Times New Roman" w:eastAsia="宋体" w:cs="Times New Roman"/>
                <w:sz w:val="18"/>
                <w:szCs w:val="18"/>
              </w:rPr>
              <w:t>50</w:t>
            </w:r>
          </w:p>
        </w:tc>
        <w:tc>
          <w:tcPr>
            <w:tcW w:w="435"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48" w:hRule="exact"/>
          <w:jc w:val="center"/>
        </w:trPr>
        <w:tc>
          <w:tcPr>
            <w:tcW w:w="42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7</w:t>
            </w:r>
          </w:p>
        </w:tc>
        <w:tc>
          <w:tcPr>
            <w:tcW w:w="2427"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 xml:space="preserve">G-quadruplex formation at the 3' end of telomere DNA inhibits its extension by telomerase, polymerase and unwinding by helicase. </w:t>
            </w:r>
            <w:r>
              <w:rPr>
                <w:rFonts w:ascii="Times New Roman"/>
                <w:i/>
                <w:color w:val="0D0D0D"/>
                <w:sz w:val="18"/>
                <w:szCs w:val="18"/>
              </w:rPr>
              <w:t>Nucleic Acids Res.</w:t>
            </w:r>
            <w:r>
              <w:rPr>
                <w:rFonts w:ascii="Times New Roman"/>
                <w:color w:val="0D0D0D"/>
                <w:sz w:val="18"/>
                <w:szCs w:val="18"/>
              </w:rPr>
              <w:t>, Quan Wang, Jiaquan Liu, Zhao Chen, Ke-wei Zheng, Changyue Chen, Yuhua Hao and Zheng Tan*</w:t>
            </w:r>
          </w:p>
        </w:tc>
        <w:tc>
          <w:tcPr>
            <w:tcW w:w="835"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b/>
                <w:color w:val="0D0D0D"/>
                <w:sz w:val="18"/>
                <w:szCs w:val="18"/>
              </w:rPr>
              <w:t>9.202</w:t>
            </w:r>
          </w:p>
        </w:tc>
        <w:tc>
          <w:tcPr>
            <w:tcW w:w="126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b/>
                <w:color w:val="0D0D0D"/>
                <w:sz w:val="18"/>
                <w:szCs w:val="18"/>
              </w:rPr>
              <w:t>2011</w:t>
            </w:r>
            <w:r>
              <w:rPr>
                <w:rFonts w:ascii="Times New Roman"/>
                <w:color w:val="0D0D0D"/>
                <w:sz w:val="18"/>
                <w:szCs w:val="18"/>
              </w:rPr>
              <w:t>, 39, 6229-6237</w:t>
            </w:r>
          </w:p>
        </w:tc>
        <w:tc>
          <w:tcPr>
            <w:tcW w:w="635"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2011</w:t>
            </w:r>
          </w:p>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-03</w:t>
            </w:r>
          </w:p>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-25</w:t>
            </w:r>
          </w:p>
        </w:tc>
        <w:tc>
          <w:tcPr>
            <w:tcW w:w="42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谭诤</w:t>
            </w:r>
          </w:p>
        </w:tc>
        <w:tc>
          <w:tcPr>
            <w:tcW w:w="42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汪泉</w:t>
            </w:r>
          </w:p>
        </w:tc>
        <w:tc>
          <w:tcPr>
            <w:tcW w:w="1048"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汪泉，刘珈泉，陈钊，郑克威，陈昌岳，郝玉华，谭铮</w:t>
            </w:r>
          </w:p>
        </w:tc>
        <w:tc>
          <w:tcPr>
            <w:tcW w:w="571" w:type="dxa"/>
          </w:tcPr>
          <w:p>
            <w:pPr>
              <w:spacing w:line="360" w:lineRule="atLeast"/>
              <w:rPr>
                <w:rFonts w:ascii="Times New Roman" w:hAnsi="Times New Roman" w:eastAsia="宋体" w:cs="Times New Roman"/>
                <w:sz w:val="18"/>
                <w:szCs w:val="18"/>
              </w:rPr>
            </w:pPr>
            <w:r>
              <w:rPr>
                <w:rFonts w:ascii="Times New Roman" w:hAnsi="Times New Roman" w:eastAsia="宋体" w:cs="Times New Roman"/>
                <w:sz w:val="18"/>
                <w:szCs w:val="18"/>
              </w:rPr>
              <w:t>43</w:t>
            </w:r>
          </w:p>
        </w:tc>
        <w:tc>
          <w:tcPr>
            <w:tcW w:w="532" w:type="dxa"/>
          </w:tcPr>
          <w:p>
            <w:pPr>
              <w:spacing w:line="360" w:lineRule="atLeast"/>
              <w:rPr>
                <w:rFonts w:ascii="Times New Roman" w:hAnsi="Times New Roman" w:eastAsia="宋体" w:cs="Times New Roman"/>
                <w:sz w:val="18"/>
                <w:szCs w:val="18"/>
              </w:rPr>
            </w:pPr>
            <w:r>
              <w:rPr>
                <w:rFonts w:ascii="Times New Roman" w:hAnsi="Times New Roman" w:eastAsia="宋体" w:cs="Times New Roman"/>
                <w:sz w:val="18"/>
                <w:szCs w:val="18"/>
              </w:rPr>
              <w:t>54</w:t>
            </w:r>
          </w:p>
        </w:tc>
        <w:tc>
          <w:tcPr>
            <w:tcW w:w="435"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0" w:hRule="exact"/>
          <w:jc w:val="center"/>
        </w:trPr>
        <w:tc>
          <w:tcPr>
            <w:tcW w:w="42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8</w:t>
            </w:r>
          </w:p>
        </w:tc>
        <w:tc>
          <w:tcPr>
            <w:tcW w:w="2427" w:type="dxa"/>
            <w:vAlign w:val="center"/>
          </w:tcPr>
          <w:p>
            <w:pPr>
              <w:pStyle w:val="12"/>
              <w:adjustRightInd w:val="0"/>
              <w:spacing w:line="360" w:lineRule="atLeast"/>
              <w:ind w:firstLine="23" w:firstLineChars="13"/>
              <w:jc w:val="center"/>
              <w:rPr>
                <w:rFonts w:ascii="Times New Roman"/>
                <w:color w:val="0D0D0D"/>
                <w:sz w:val="18"/>
                <w:szCs w:val="18"/>
              </w:rPr>
            </w:pPr>
            <w:r>
              <w:rPr>
                <w:rFonts w:ascii="Times New Roman"/>
                <w:color w:val="0D0D0D"/>
                <w:sz w:val="18"/>
                <w:szCs w:val="18"/>
              </w:rPr>
              <w:t>Quantification of 5-Methylcytosine and 5-</w:t>
            </w:r>
          </w:p>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 xml:space="preserve">Hydroxymethylcytosine in Genomic DNA from Hepatocellular Carcinoma Tissues by Capillary Hydrophilic-Interaction Liquid Chromatography/ Quadrupole TOF Mass Spectrometry, </w:t>
            </w:r>
            <w:r>
              <w:rPr>
                <w:rFonts w:ascii="Times New Roman"/>
                <w:i/>
                <w:color w:val="0D0D0D"/>
                <w:sz w:val="18"/>
                <w:szCs w:val="18"/>
              </w:rPr>
              <w:t>Clin Chem.</w:t>
            </w:r>
            <w:r>
              <w:rPr>
                <w:rFonts w:ascii="Times New Roman"/>
                <w:color w:val="0D0D0D"/>
                <w:sz w:val="18"/>
                <w:szCs w:val="18"/>
              </w:rPr>
              <w:t xml:space="preserve"> Mingluan Chen, Fan Shen, Wei Huang, Jiahui Qi, Yinsheng Wang, Yuqi Feng*, Songmei Liu*, and Bifeng Yuan*</w:t>
            </w:r>
          </w:p>
        </w:tc>
        <w:tc>
          <w:tcPr>
            <w:tcW w:w="835" w:type="dxa"/>
            <w:vAlign w:val="center"/>
          </w:tcPr>
          <w:p>
            <w:pPr>
              <w:pStyle w:val="12"/>
              <w:adjustRightInd w:val="0"/>
              <w:spacing w:line="360" w:lineRule="atLeast"/>
              <w:ind w:firstLine="0" w:firstLineChars="0"/>
              <w:jc w:val="center"/>
              <w:rPr>
                <w:rFonts w:ascii="Times New Roman"/>
                <w:b/>
                <w:color w:val="0D0D0D"/>
                <w:sz w:val="18"/>
                <w:szCs w:val="18"/>
              </w:rPr>
            </w:pPr>
            <w:r>
              <w:rPr>
                <w:rFonts w:ascii="Times New Roman"/>
                <w:b/>
                <w:color w:val="0D0D0D"/>
                <w:sz w:val="18"/>
                <w:szCs w:val="18"/>
              </w:rPr>
              <w:t>7.45</w:t>
            </w:r>
          </w:p>
        </w:tc>
        <w:tc>
          <w:tcPr>
            <w:tcW w:w="126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b/>
                <w:color w:val="0D0D0D"/>
                <w:sz w:val="18"/>
                <w:szCs w:val="18"/>
              </w:rPr>
              <w:t>2013</w:t>
            </w:r>
            <w:r>
              <w:rPr>
                <w:rFonts w:ascii="Times New Roman"/>
                <w:color w:val="0D0D0D"/>
                <w:sz w:val="18"/>
                <w:szCs w:val="18"/>
              </w:rPr>
              <w:t>, 59, 824–832</w:t>
            </w:r>
          </w:p>
        </w:tc>
        <w:tc>
          <w:tcPr>
            <w:tcW w:w="635"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2013</w:t>
            </w:r>
          </w:p>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-05</w:t>
            </w:r>
          </w:p>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-04</w:t>
            </w:r>
          </w:p>
        </w:tc>
        <w:tc>
          <w:tcPr>
            <w:tcW w:w="42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刘松梅/袁必锋/冯钰琦</w:t>
            </w:r>
          </w:p>
        </w:tc>
        <w:tc>
          <w:tcPr>
            <w:tcW w:w="429"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陈鸣蛮</w:t>
            </w:r>
          </w:p>
        </w:tc>
        <w:tc>
          <w:tcPr>
            <w:tcW w:w="1048"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陈鸣蛮, 沈璠, 黄维, 齐佳会, 王迎申,冯钰锜, 刘松梅，袁必锋</w:t>
            </w:r>
          </w:p>
        </w:tc>
        <w:tc>
          <w:tcPr>
            <w:tcW w:w="571" w:type="dxa"/>
          </w:tcPr>
          <w:p>
            <w:pPr>
              <w:spacing w:line="360" w:lineRule="atLeast"/>
              <w:rPr>
                <w:rFonts w:ascii="Times New Roman" w:hAnsi="Times New Roman" w:eastAsia="宋体" w:cs="Times New Roman"/>
                <w:sz w:val="18"/>
                <w:szCs w:val="18"/>
              </w:rPr>
            </w:pPr>
            <w:r>
              <w:rPr>
                <w:rFonts w:ascii="Times New Roman" w:hAnsi="Times New Roman" w:eastAsia="宋体" w:cs="Times New Roman"/>
                <w:sz w:val="18"/>
                <w:szCs w:val="18"/>
              </w:rPr>
              <w:t>37</w:t>
            </w:r>
          </w:p>
        </w:tc>
        <w:tc>
          <w:tcPr>
            <w:tcW w:w="532" w:type="dxa"/>
          </w:tcPr>
          <w:p>
            <w:pPr>
              <w:spacing w:line="360" w:lineRule="atLeast"/>
              <w:rPr>
                <w:rFonts w:ascii="Times New Roman" w:hAnsi="Times New Roman" w:eastAsia="宋体" w:cs="Times New Roman"/>
                <w:sz w:val="18"/>
                <w:szCs w:val="18"/>
              </w:rPr>
            </w:pPr>
            <w:r>
              <w:rPr>
                <w:rFonts w:ascii="Times New Roman" w:hAnsi="Times New Roman" w:eastAsia="宋体" w:cs="Times New Roman"/>
                <w:sz w:val="18"/>
                <w:szCs w:val="18"/>
              </w:rPr>
              <w:t>55</w:t>
            </w:r>
          </w:p>
        </w:tc>
        <w:tc>
          <w:tcPr>
            <w:tcW w:w="435" w:type="dxa"/>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7501" w:type="dxa"/>
            <w:gridSpan w:val="8"/>
            <w:vAlign w:val="center"/>
          </w:tcPr>
          <w:p>
            <w:pPr>
              <w:pStyle w:val="12"/>
              <w:adjustRightInd w:val="0"/>
              <w:spacing w:line="360" w:lineRule="atLeast"/>
              <w:ind w:firstLine="0" w:firstLineChars="0"/>
              <w:jc w:val="center"/>
              <w:rPr>
                <w:rFonts w:ascii="Times New Roman"/>
                <w:color w:val="0D0D0D"/>
                <w:sz w:val="18"/>
                <w:szCs w:val="18"/>
              </w:rPr>
            </w:pPr>
            <w:r>
              <w:rPr>
                <w:rFonts w:ascii="Times New Roman"/>
                <w:color w:val="0D0D0D"/>
                <w:sz w:val="18"/>
                <w:szCs w:val="18"/>
              </w:rPr>
              <w:t>合计</w:t>
            </w:r>
          </w:p>
        </w:tc>
        <w:tc>
          <w:tcPr>
            <w:tcW w:w="571" w:type="dxa"/>
            <w:vAlign w:val="center"/>
          </w:tcPr>
          <w:p>
            <w:pPr>
              <w:pStyle w:val="12"/>
              <w:adjustRightInd w:val="0"/>
              <w:spacing w:line="360" w:lineRule="atLeast"/>
              <w:ind w:firstLine="0" w:firstLineChars="0"/>
              <w:jc w:val="center"/>
              <w:rPr>
                <w:rFonts w:ascii="Times New Roman"/>
                <w:color w:val="0D0D0D"/>
                <w:sz w:val="18"/>
                <w:szCs w:val="18"/>
              </w:rPr>
            </w:pPr>
          </w:p>
        </w:tc>
        <w:tc>
          <w:tcPr>
            <w:tcW w:w="532" w:type="dxa"/>
            <w:vAlign w:val="center"/>
          </w:tcPr>
          <w:p>
            <w:pPr>
              <w:pStyle w:val="12"/>
              <w:adjustRightInd w:val="0"/>
              <w:spacing w:line="360" w:lineRule="atLeast"/>
              <w:ind w:firstLine="0" w:firstLineChars="0"/>
              <w:jc w:val="center"/>
              <w:rPr>
                <w:rFonts w:ascii="Times New Roman"/>
                <w:color w:val="0D0D0D"/>
                <w:sz w:val="18"/>
                <w:szCs w:val="18"/>
              </w:rPr>
            </w:pPr>
          </w:p>
        </w:tc>
        <w:tc>
          <w:tcPr>
            <w:tcW w:w="435" w:type="dxa"/>
          </w:tcPr>
          <w:p>
            <w:pPr>
              <w:pStyle w:val="12"/>
              <w:adjustRightInd w:val="0"/>
              <w:spacing w:line="360" w:lineRule="atLeast"/>
              <w:ind w:firstLine="0" w:firstLineChars="0"/>
              <w:jc w:val="center"/>
              <w:rPr>
                <w:rFonts w:ascii="Times New Roman"/>
                <w:color w:val="0D0D0D"/>
                <w:sz w:val="18"/>
                <w:szCs w:val="18"/>
              </w:rPr>
            </w:pPr>
          </w:p>
        </w:tc>
      </w:tr>
    </w:tbl>
    <w:p>
      <w:pPr>
        <w:jc w:val="center"/>
        <w:rPr>
          <w:rFonts w:hint="eastAsia" w:ascii="仿宋" w:hAnsi="仿宋" w:eastAsia="仿宋"/>
          <w:b/>
          <w:sz w:val="32"/>
          <w:szCs w:val="32"/>
        </w:rPr>
      </w:pPr>
    </w:p>
    <w:p>
      <w:pPr>
        <w:jc w:val="center"/>
        <w:rPr>
          <w:rFonts w:hint="eastAsia" w:ascii="仿宋" w:hAnsi="仿宋" w:eastAsia="仿宋"/>
          <w:b/>
          <w:sz w:val="32"/>
          <w:szCs w:val="32"/>
        </w:rPr>
      </w:pPr>
    </w:p>
    <w:p>
      <w:pPr>
        <w:jc w:val="center"/>
        <w:rPr>
          <w:rFonts w:hint="eastAsia" w:ascii="仿宋" w:hAnsi="仿宋" w:eastAsia="仿宋"/>
          <w:b/>
          <w:sz w:val="32"/>
          <w:szCs w:val="32"/>
        </w:rPr>
      </w:pPr>
    </w:p>
    <w:p>
      <w:pPr>
        <w:jc w:val="center"/>
        <w:rPr>
          <w:rFonts w:hint="eastAsia" w:ascii="仿宋" w:hAnsi="仿宋" w:eastAsia="仿宋"/>
          <w:b/>
          <w:sz w:val="32"/>
          <w:szCs w:val="32"/>
        </w:rPr>
      </w:pPr>
    </w:p>
    <w:p>
      <w:pPr>
        <w:jc w:val="center"/>
        <w:rPr>
          <w:rFonts w:hint="eastAsia" w:ascii="仿宋" w:hAnsi="仿宋" w:eastAsia="仿宋"/>
          <w:b/>
          <w:sz w:val="32"/>
          <w:szCs w:val="32"/>
        </w:rPr>
      </w:pPr>
    </w:p>
    <w:p>
      <w:pPr>
        <w:jc w:val="center"/>
        <w:rPr>
          <w:rFonts w:hint="eastAsia" w:ascii="仿宋" w:hAnsi="仿宋" w:eastAsia="仿宋"/>
          <w:b/>
          <w:sz w:val="32"/>
          <w:szCs w:val="32"/>
        </w:rPr>
      </w:pPr>
    </w:p>
    <w:p>
      <w:pPr>
        <w:jc w:val="center"/>
        <w:rPr>
          <w:rFonts w:ascii="仿宋" w:hAnsi="仿宋" w:eastAsia="仿宋"/>
          <w:b/>
          <w:sz w:val="32"/>
          <w:szCs w:val="32"/>
        </w:rPr>
      </w:pPr>
      <w:r>
        <w:rPr>
          <w:rFonts w:hint="eastAsia" w:ascii="仿宋" w:hAnsi="仿宋" w:eastAsia="仿宋"/>
          <w:b/>
          <w:sz w:val="32"/>
          <w:szCs w:val="32"/>
        </w:rPr>
        <w:t>主要完成人情况</w:t>
      </w:r>
    </w:p>
    <w:tbl>
      <w:tblPr>
        <w:tblStyle w:val="28"/>
        <w:tblW w:w="8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489"/>
        <w:gridCol w:w="616"/>
        <w:gridCol w:w="614"/>
        <w:gridCol w:w="1093"/>
        <w:gridCol w:w="992"/>
        <w:gridCol w:w="4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840" w:type="dxa"/>
            <w:vAlign w:val="center"/>
          </w:tcPr>
          <w:p>
            <w:pPr>
              <w:adjustRightInd w:val="0"/>
              <w:snapToGrid w:val="0"/>
              <w:jc w:val="center"/>
              <w:rPr>
                <w:rFonts w:ascii="宋体" w:hAnsi="宋体"/>
                <w:szCs w:val="21"/>
              </w:rPr>
            </w:pPr>
            <w:r>
              <w:rPr>
                <w:rFonts w:hint="eastAsia" w:ascii="宋体" w:hAnsi="宋体"/>
                <w:szCs w:val="21"/>
              </w:rPr>
              <w:t>姓名</w:t>
            </w:r>
          </w:p>
        </w:tc>
        <w:tc>
          <w:tcPr>
            <w:tcW w:w="489" w:type="dxa"/>
            <w:vAlign w:val="center"/>
          </w:tcPr>
          <w:p>
            <w:pPr>
              <w:adjustRightInd w:val="0"/>
              <w:snapToGrid w:val="0"/>
              <w:jc w:val="center"/>
              <w:rPr>
                <w:rFonts w:ascii="宋体" w:hAnsi="宋体"/>
                <w:szCs w:val="21"/>
              </w:rPr>
            </w:pPr>
            <w:r>
              <w:rPr>
                <w:rFonts w:hint="eastAsia" w:ascii="宋体" w:hAnsi="宋体"/>
                <w:szCs w:val="21"/>
              </w:rPr>
              <w:t>排名</w:t>
            </w:r>
          </w:p>
        </w:tc>
        <w:tc>
          <w:tcPr>
            <w:tcW w:w="616" w:type="dxa"/>
            <w:vAlign w:val="center"/>
          </w:tcPr>
          <w:p>
            <w:pPr>
              <w:adjustRightInd w:val="0"/>
              <w:snapToGrid w:val="0"/>
              <w:jc w:val="center"/>
              <w:rPr>
                <w:rFonts w:ascii="宋体" w:hAnsi="宋体"/>
                <w:szCs w:val="21"/>
              </w:rPr>
            </w:pPr>
            <w:r>
              <w:rPr>
                <w:rFonts w:hint="eastAsia" w:ascii="宋体" w:hAnsi="宋体"/>
                <w:szCs w:val="21"/>
              </w:rPr>
              <w:t>行政职务</w:t>
            </w:r>
          </w:p>
        </w:tc>
        <w:tc>
          <w:tcPr>
            <w:tcW w:w="614" w:type="dxa"/>
            <w:vAlign w:val="center"/>
          </w:tcPr>
          <w:p>
            <w:pPr>
              <w:adjustRightInd w:val="0"/>
              <w:snapToGrid w:val="0"/>
              <w:jc w:val="center"/>
              <w:rPr>
                <w:rFonts w:ascii="宋体" w:hAnsi="宋体"/>
                <w:szCs w:val="21"/>
              </w:rPr>
            </w:pPr>
            <w:r>
              <w:rPr>
                <w:rFonts w:hint="eastAsia" w:ascii="宋体" w:hAnsi="宋体"/>
                <w:szCs w:val="21"/>
              </w:rPr>
              <w:t>技术职称</w:t>
            </w:r>
          </w:p>
        </w:tc>
        <w:tc>
          <w:tcPr>
            <w:tcW w:w="1093" w:type="dxa"/>
            <w:vAlign w:val="center"/>
          </w:tcPr>
          <w:p>
            <w:pPr>
              <w:adjustRightInd w:val="0"/>
              <w:snapToGrid w:val="0"/>
              <w:jc w:val="center"/>
              <w:rPr>
                <w:rFonts w:ascii="宋体" w:hAnsi="宋体"/>
                <w:szCs w:val="21"/>
              </w:rPr>
            </w:pPr>
            <w:r>
              <w:rPr>
                <w:rFonts w:hint="eastAsia" w:ascii="宋体" w:hAnsi="宋体"/>
                <w:szCs w:val="21"/>
              </w:rPr>
              <w:t>工作单位</w:t>
            </w:r>
          </w:p>
        </w:tc>
        <w:tc>
          <w:tcPr>
            <w:tcW w:w="992" w:type="dxa"/>
            <w:vAlign w:val="center"/>
          </w:tcPr>
          <w:p>
            <w:pPr>
              <w:adjustRightInd w:val="0"/>
              <w:snapToGrid w:val="0"/>
              <w:jc w:val="center"/>
              <w:rPr>
                <w:rFonts w:ascii="宋体" w:hAnsi="宋体"/>
                <w:szCs w:val="21"/>
              </w:rPr>
            </w:pPr>
            <w:r>
              <w:rPr>
                <w:rFonts w:hint="eastAsia" w:ascii="宋体" w:hAnsi="宋体"/>
                <w:szCs w:val="21"/>
              </w:rPr>
              <w:t>完成单位</w:t>
            </w:r>
          </w:p>
        </w:tc>
        <w:tc>
          <w:tcPr>
            <w:tcW w:w="4132" w:type="dxa"/>
          </w:tcPr>
          <w:p>
            <w:pPr>
              <w:adjustRightInd w:val="0"/>
              <w:snapToGrid w:val="0"/>
              <w:jc w:val="center"/>
              <w:rPr>
                <w:rFonts w:ascii="宋体" w:hAnsi="宋体"/>
                <w:szCs w:val="21"/>
              </w:rPr>
            </w:pPr>
            <w:r>
              <w:rPr>
                <w:rFonts w:hint="eastAsia" w:ascii="宋体" w:hAnsi="宋体"/>
                <w:szCs w:val="21"/>
              </w:rPr>
              <w:t>对本项目技术创造性贡献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840" w:type="dxa"/>
            <w:vAlign w:val="center"/>
          </w:tcPr>
          <w:p>
            <w:pPr>
              <w:adjustRightInd w:val="0"/>
              <w:snapToGrid w:val="0"/>
              <w:jc w:val="center"/>
              <w:rPr>
                <w:rFonts w:ascii="宋体" w:hAnsi="宋体"/>
                <w:szCs w:val="21"/>
              </w:rPr>
            </w:pPr>
            <w:r>
              <w:rPr>
                <w:rFonts w:hint="eastAsia" w:ascii="宋体" w:hAnsi="宋体" w:eastAsia="宋体"/>
                <w:color w:val="0D0D0D"/>
                <w:szCs w:val="21"/>
              </w:rPr>
              <w:t>周翔</w:t>
            </w:r>
          </w:p>
        </w:tc>
        <w:tc>
          <w:tcPr>
            <w:tcW w:w="489" w:type="dxa"/>
            <w:vAlign w:val="center"/>
          </w:tcPr>
          <w:p>
            <w:pPr>
              <w:adjustRightInd w:val="0"/>
              <w:snapToGrid w:val="0"/>
              <w:jc w:val="center"/>
              <w:rPr>
                <w:rFonts w:ascii="宋体" w:hAnsi="宋体"/>
                <w:szCs w:val="21"/>
              </w:rPr>
            </w:pPr>
            <w:r>
              <w:rPr>
                <w:rFonts w:hint="eastAsia" w:ascii="宋体" w:hAnsi="宋体"/>
                <w:szCs w:val="21"/>
              </w:rPr>
              <w:t>1</w:t>
            </w:r>
          </w:p>
        </w:tc>
        <w:tc>
          <w:tcPr>
            <w:tcW w:w="616" w:type="dxa"/>
            <w:vAlign w:val="center"/>
          </w:tcPr>
          <w:p>
            <w:pPr>
              <w:adjustRightInd w:val="0"/>
              <w:snapToGrid w:val="0"/>
              <w:jc w:val="center"/>
              <w:rPr>
                <w:rFonts w:ascii="宋体" w:hAnsi="宋体"/>
                <w:szCs w:val="21"/>
              </w:rPr>
            </w:pPr>
            <w:r>
              <w:rPr>
                <w:rFonts w:hint="eastAsia" w:ascii="宋体" w:hAnsi="宋体" w:eastAsia="宋体"/>
                <w:color w:val="0D0D0D"/>
                <w:szCs w:val="21"/>
              </w:rPr>
              <w:t>院长</w:t>
            </w:r>
          </w:p>
        </w:tc>
        <w:tc>
          <w:tcPr>
            <w:tcW w:w="614" w:type="dxa"/>
            <w:vAlign w:val="center"/>
          </w:tcPr>
          <w:p>
            <w:pPr>
              <w:adjustRightInd w:val="0"/>
              <w:snapToGrid w:val="0"/>
              <w:jc w:val="center"/>
              <w:rPr>
                <w:rFonts w:ascii="宋体" w:hAnsi="宋体"/>
                <w:szCs w:val="21"/>
              </w:rPr>
            </w:pPr>
            <w:r>
              <w:rPr>
                <w:rFonts w:hint="eastAsia" w:ascii="宋体" w:hAnsi="宋体" w:eastAsia="宋体"/>
                <w:color w:val="0D0D0D"/>
                <w:szCs w:val="21"/>
              </w:rPr>
              <w:t>教授</w:t>
            </w:r>
          </w:p>
        </w:tc>
        <w:tc>
          <w:tcPr>
            <w:tcW w:w="1093" w:type="dxa"/>
            <w:vAlign w:val="center"/>
          </w:tcPr>
          <w:p>
            <w:pPr>
              <w:adjustRightInd w:val="0"/>
              <w:snapToGrid w:val="0"/>
              <w:jc w:val="center"/>
              <w:rPr>
                <w:rFonts w:ascii="宋体" w:hAnsi="宋体"/>
                <w:szCs w:val="21"/>
              </w:rPr>
            </w:pPr>
            <w:r>
              <w:rPr>
                <w:rFonts w:hint="eastAsia" w:ascii="宋体" w:hAnsi="宋体" w:eastAsia="宋体"/>
                <w:color w:val="0D0D0D"/>
                <w:szCs w:val="21"/>
              </w:rPr>
              <w:t>武汉大学</w:t>
            </w:r>
          </w:p>
        </w:tc>
        <w:tc>
          <w:tcPr>
            <w:tcW w:w="992" w:type="dxa"/>
            <w:vAlign w:val="center"/>
          </w:tcPr>
          <w:p>
            <w:pPr>
              <w:adjustRightInd w:val="0"/>
              <w:snapToGrid w:val="0"/>
              <w:jc w:val="center"/>
              <w:rPr>
                <w:rFonts w:ascii="宋体" w:hAnsi="宋体"/>
                <w:szCs w:val="21"/>
              </w:rPr>
            </w:pPr>
            <w:r>
              <w:rPr>
                <w:rFonts w:hint="eastAsia" w:ascii="宋体" w:hAnsi="宋体" w:eastAsia="宋体"/>
                <w:color w:val="0D0D0D"/>
                <w:szCs w:val="21"/>
              </w:rPr>
              <w:t>武汉大学</w:t>
            </w:r>
          </w:p>
        </w:tc>
        <w:tc>
          <w:tcPr>
            <w:tcW w:w="4132" w:type="dxa"/>
          </w:tcPr>
          <w:p>
            <w:pPr>
              <w:pStyle w:val="12"/>
              <w:spacing w:line="360" w:lineRule="atLeast"/>
              <w:ind w:firstLine="0" w:firstLineChars="0"/>
              <w:rPr>
                <w:rFonts w:ascii="宋体" w:hAnsi="宋体"/>
                <w:color w:val="0D0D0D"/>
                <w:sz w:val="21"/>
                <w:szCs w:val="21"/>
              </w:rPr>
            </w:pPr>
            <w:r>
              <w:rPr>
                <w:rFonts w:hint="eastAsia" w:ascii="宋体" w:hAnsi="宋体"/>
                <w:color w:val="0D0D0D"/>
                <w:sz w:val="21"/>
                <w:szCs w:val="21"/>
              </w:rPr>
              <w:t>对本项目主要学术贡献：项目总负责人。全面负责项目总体方向的确定、研究思路的提出以及研究方案的设计。对发现点1（部分）、发现点2、发现点3和发现点4（部分）做出创造性贡献。设计系列能识别核酸的小分子，提出可诱导核酸交链的新原理和小分子对不同二级核酸结构的识别和调控的新方法和新策略。</w:t>
            </w:r>
          </w:p>
          <w:p>
            <w:pPr>
              <w:pStyle w:val="12"/>
              <w:spacing w:line="360" w:lineRule="atLeast"/>
              <w:ind w:firstLine="420"/>
              <w:rPr>
                <w:rFonts w:ascii="宋体" w:hAnsi="宋体"/>
                <w:color w:val="0D0D0D"/>
                <w:sz w:val="21"/>
                <w:szCs w:val="21"/>
              </w:rPr>
            </w:pPr>
            <w:r>
              <w:rPr>
                <w:rFonts w:hint="eastAsia" w:ascii="宋体" w:hAnsi="宋体"/>
                <w:color w:val="0D0D0D"/>
                <w:sz w:val="21"/>
                <w:szCs w:val="21"/>
              </w:rPr>
              <w:t>是代表性论文1，2，3，6中的通讯作者，工作量占本人工作量的80%。</w:t>
            </w:r>
          </w:p>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840" w:type="dxa"/>
            <w:vAlign w:val="center"/>
          </w:tcPr>
          <w:p>
            <w:pPr>
              <w:adjustRightInd w:val="0"/>
              <w:snapToGrid w:val="0"/>
              <w:jc w:val="center"/>
              <w:rPr>
                <w:rFonts w:ascii="宋体" w:hAnsi="宋体"/>
                <w:szCs w:val="21"/>
              </w:rPr>
            </w:pPr>
            <w:r>
              <w:rPr>
                <w:rFonts w:hint="eastAsia" w:ascii="宋体" w:hAnsi="宋体" w:eastAsia="宋体"/>
                <w:szCs w:val="21"/>
              </w:rPr>
              <w:t>谭铮</w:t>
            </w:r>
          </w:p>
        </w:tc>
        <w:tc>
          <w:tcPr>
            <w:tcW w:w="489" w:type="dxa"/>
            <w:vAlign w:val="center"/>
          </w:tcPr>
          <w:p>
            <w:pPr>
              <w:adjustRightInd w:val="0"/>
              <w:snapToGrid w:val="0"/>
              <w:jc w:val="center"/>
              <w:rPr>
                <w:rFonts w:ascii="宋体" w:hAnsi="宋体"/>
                <w:szCs w:val="21"/>
              </w:rPr>
            </w:pPr>
            <w:r>
              <w:rPr>
                <w:rFonts w:hint="eastAsia" w:ascii="宋体" w:hAnsi="宋体"/>
                <w:szCs w:val="21"/>
              </w:rPr>
              <w:t>2</w:t>
            </w:r>
          </w:p>
        </w:tc>
        <w:tc>
          <w:tcPr>
            <w:tcW w:w="616" w:type="dxa"/>
            <w:vAlign w:val="center"/>
          </w:tcPr>
          <w:p>
            <w:pPr>
              <w:adjustRightInd w:val="0"/>
              <w:snapToGrid w:val="0"/>
              <w:jc w:val="center"/>
              <w:rPr>
                <w:rFonts w:ascii="宋体" w:hAnsi="宋体"/>
                <w:szCs w:val="21"/>
              </w:rPr>
            </w:pPr>
          </w:p>
        </w:tc>
        <w:tc>
          <w:tcPr>
            <w:tcW w:w="614" w:type="dxa"/>
            <w:vAlign w:val="center"/>
          </w:tcPr>
          <w:p>
            <w:pPr>
              <w:adjustRightInd w:val="0"/>
              <w:snapToGrid w:val="0"/>
              <w:jc w:val="center"/>
              <w:rPr>
                <w:rFonts w:ascii="宋体" w:hAnsi="宋体"/>
                <w:szCs w:val="21"/>
              </w:rPr>
            </w:pPr>
            <w:r>
              <w:rPr>
                <w:rFonts w:hint="eastAsia" w:ascii="宋体" w:hAnsi="宋体" w:eastAsia="宋体"/>
                <w:szCs w:val="21"/>
              </w:rPr>
              <w:t>研究员</w:t>
            </w:r>
          </w:p>
        </w:tc>
        <w:tc>
          <w:tcPr>
            <w:tcW w:w="1093" w:type="dxa"/>
            <w:vAlign w:val="center"/>
          </w:tcPr>
          <w:p>
            <w:pPr>
              <w:adjustRightInd w:val="0"/>
              <w:snapToGrid w:val="0"/>
              <w:jc w:val="center"/>
              <w:rPr>
                <w:rFonts w:ascii="宋体" w:hAnsi="宋体"/>
                <w:szCs w:val="21"/>
              </w:rPr>
            </w:pPr>
            <w:r>
              <w:rPr>
                <w:rFonts w:hint="eastAsia" w:ascii="宋体" w:hAnsi="宋体" w:eastAsia="宋体"/>
                <w:szCs w:val="21"/>
              </w:rPr>
              <w:t>中国科学院动物研究所</w:t>
            </w:r>
          </w:p>
        </w:tc>
        <w:tc>
          <w:tcPr>
            <w:tcW w:w="992" w:type="dxa"/>
            <w:vAlign w:val="center"/>
          </w:tcPr>
          <w:p>
            <w:pPr>
              <w:adjustRightInd w:val="0"/>
              <w:snapToGrid w:val="0"/>
              <w:jc w:val="center"/>
              <w:rPr>
                <w:rFonts w:ascii="宋体" w:hAnsi="宋体"/>
                <w:szCs w:val="21"/>
              </w:rPr>
            </w:pPr>
            <w:r>
              <w:rPr>
                <w:rFonts w:hint="eastAsia" w:ascii="宋体" w:hAnsi="宋体" w:eastAsia="宋体"/>
                <w:szCs w:val="21"/>
              </w:rPr>
              <w:t>中国科学院动物研究所，武汉大学</w:t>
            </w:r>
          </w:p>
        </w:tc>
        <w:tc>
          <w:tcPr>
            <w:tcW w:w="4132" w:type="dxa"/>
          </w:tcPr>
          <w:p>
            <w:pPr>
              <w:adjustRightInd w:val="0"/>
              <w:snapToGrid w:val="0"/>
              <w:jc w:val="center"/>
              <w:rPr>
                <w:rFonts w:ascii="宋体" w:hAnsi="宋体"/>
                <w:szCs w:val="21"/>
              </w:rPr>
            </w:pPr>
            <w:r>
              <w:rPr>
                <w:rFonts w:hint="eastAsia" w:ascii="宋体" w:hAnsi="宋体" w:eastAsia="宋体"/>
                <w:szCs w:val="21"/>
              </w:rPr>
              <w:t>利用小分子与四链核酸的相互作用，发现了端粒的3’端的大小和长度可以影响四链核酸的形成，端粒 DNA 在分子拥挤条件下经酶促反应释放后的折叠过程，发现不同于以往认为的折叠成热力学平衡条件下的反平行构象。发现点1主要贡献者，是代表性论文4</w:t>
            </w:r>
            <w:r>
              <w:rPr>
                <w:rFonts w:ascii="宋体" w:hAnsi="宋体" w:eastAsia="宋体"/>
                <w:szCs w:val="21"/>
              </w:rPr>
              <w:t xml:space="preserve">, </w:t>
            </w:r>
            <w:r>
              <w:rPr>
                <w:rFonts w:hint="eastAsia" w:ascii="宋体" w:hAnsi="宋体" w:eastAsia="宋体"/>
                <w:szCs w:val="21"/>
              </w:rPr>
              <w:t>5，7的通讯作者，工作量占本人工作量的</w:t>
            </w:r>
            <w:r>
              <w:rPr>
                <w:rFonts w:ascii="宋体" w:hAnsi="宋体" w:eastAsia="宋体"/>
                <w:szCs w:val="21"/>
              </w:rPr>
              <w:t>80%</w:t>
            </w:r>
            <w:r>
              <w:rPr>
                <w:rFonts w:hint="eastAsia" w:ascii="宋体" w:hAnsi="宋体" w:eastAsia="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840" w:type="dxa"/>
            <w:vAlign w:val="center"/>
          </w:tcPr>
          <w:p>
            <w:pPr>
              <w:adjustRightInd w:val="0"/>
              <w:snapToGrid w:val="0"/>
              <w:jc w:val="center"/>
              <w:rPr>
                <w:rFonts w:ascii="宋体" w:hAnsi="宋体"/>
                <w:szCs w:val="21"/>
              </w:rPr>
            </w:pPr>
            <w:r>
              <w:rPr>
                <w:rFonts w:hint="eastAsia" w:ascii="宋体" w:hAnsi="宋体" w:eastAsia="宋体"/>
                <w:szCs w:val="21"/>
              </w:rPr>
              <w:t>翁小成</w:t>
            </w:r>
          </w:p>
        </w:tc>
        <w:tc>
          <w:tcPr>
            <w:tcW w:w="489" w:type="dxa"/>
            <w:vAlign w:val="center"/>
          </w:tcPr>
          <w:p>
            <w:pPr>
              <w:adjustRightInd w:val="0"/>
              <w:snapToGrid w:val="0"/>
              <w:jc w:val="center"/>
              <w:rPr>
                <w:rFonts w:ascii="宋体" w:hAnsi="宋体"/>
                <w:szCs w:val="21"/>
              </w:rPr>
            </w:pPr>
            <w:r>
              <w:rPr>
                <w:rFonts w:hint="eastAsia" w:ascii="宋体" w:hAnsi="宋体"/>
                <w:szCs w:val="21"/>
              </w:rPr>
              <w:t>3</w:t>
            </w:r>
          </w:p>
        </w:tc>
        <w:tc>
          <w:tcPr>
            <w:tcW w:w="616" w:type="dxa"/>
            <w:vAlign w:val="center"/>
          </w:tcPr>
          <w:p>
            <w:pPr>
              <w:adjustRightInd w:val="0"/>
              <w:snapToGrid w:val="0"/>
              <w:jc w:val="center"/>
              <w:rPr>
                <w:rFonts w:ascii="宋体" w:hAnsi="宋体"/>
                <w:szCs w:val="21"/>
              </w:rPr>
            </w:pPr>
          </w:p>
        </w:tc>
        <w:tc>
          <w:tcPr>
            <w:tcW w:w="614" w:type="dxa"/>
            <w:vAlign w:val="center"/>
          </w:tcPr>
          <w:p>
            <w:pPr>
              <w:adjustRightInd w:val="0"/>
              <w:snapToGrid w:val="0"/>
              <w:jc w:val="center"/>
              <w:rPr>
                <w:rFonts w:ascii="宋体" w:hAnsi="宋体"/>
                <w:szCs w:val="21"/>
              </w:rPr>
            </w:pPr>
            <w:r>
              <w:rPr>
                <w:rFonts w:hint="eastAsia" w:ascii="宋体" w:hAnsi="宋体" w:eastAsia="宋体"/>
                <w:szCs w:val="21"/>
              </w:rPr>
              <w:t>副</w:t>
            </w:r>
            <w:r>
              <w:rPr>
                <w:rFonts w:ascii="宋体" w:hAnsi="宋体" w:eastAsia="宋体"/>
                <w:szCs w:val="21"/>
              </w:rPr>
              <w:t>教授</w:t>
            </w:r>
          </w:p>
        </w:tc>
        <w:tc>
          <w:tcPr>
            <w:tcW w:w="1093" w:type="dxa"/>
            <w:vAlign w:val="center"/>
          </w:tcPr>
          <w:p>
            <w:pPr>
              <w:adjustRightInd w:val="0"/>
              <w:snapToGrid w:val="0"/>
              <w:jc w:val="center"/>
              <w:rPr>
                <w:rFonts w:ascii="宋体" w:hAnsi="宋体"/>
                <w:szCs w:val="21"/>
              </w:rPr>
            </w:pPr>
            <w:r>
              <w:rPr>
                <w:rFonts w:hint="eastAsia" w:ascii="宋体" w:hAnsi="宋体" w:eastAsia="宋体"/>
                <w:szCs w:val="21"/>
              </w:rPr>
              <w:t>武汉</w:t>
            </w:r>
            <w:r>
              <w:rPr>
                <w:rFonts w:ascii="宋体" w:hAnsi="宋体" w:eastAsia="宋体"/>
                <w:szCs w:val="21"/>
              </w:rPr>
              <w:t>大学</w:t>
            </w:r>
          </w:p>
        </w:tc>
        <w:tc>
          <w:tcPr>
            <w:tcW w:w="992" w:type="dxa"/>
            <w:vAlign w:val="center"/>
          </w:tcPr>
          <w:p>
            <w:pPr>
              <w:adjustRightInd w:val="0"/>
              <w:snapToGrid w:val="0"/>
              <w:jc w:val="center"/>
              <w:rPr>
                <w:rFonts w:ascii="宋体" w:hAnsi="宋体"/>
                <w:szCs w:val="21"/>
              </w:rPr>
            </w:pPr>
            <w:r>
              <w:rPr>
                <w:rFonts w:hint="eastAsia" w:ascii="宋体" w:hAnsi="宋体" w:eastAsia="宋体"/>
                <w:szCs w:val="21"/>
              </w:rPr>
              <w:t>武汉大学</w:t>
            </w:r>
          </w:p>
        </w:tc>
        <w:tc>
          <w:tcPr>
            <w:tcW w:w="4132" w:type="dxa"/>
          </w:tcPr>
          <w:p>
            <w:pPr>
              <w:adjustRightInd w:val="0"/>
              <w:snapToGrid w:val="0"/>
              <w:jc w:val="center"/>
              <w:rPr>
                <w:rFonts w:ascii="宋体" w:hAnsi="宋体"/>
                <w:szCs w:val="21"/>
              </w:rPr>
            </w:pPr>
            <w:r>
              <w:rPr>
                <w:rFonts w:hint="eastAsia" w:ascii="宋体" w:hAnsi="宋体" w:eastAsia="宋体"/>
                <w:szCs w:val="21"/>
              </w:rPr>
              <w:t>项目主要参加人，在以核酸为靶标的含硒小分子的设计、合成、抗肿瘤活性评价、构效关系及作用机制等方面开展了系统研究工作。发现点3的部分贡献者，是代表性论文3第一作者，代表性论文1第八作者， 代表性论文6第四作者，工作量占本人工作量的40%</w:t>
            </w:r>
            <w:r>
              <w:rPr>
                <w:rFonts w:ascii="宋体" w:hAnsi="宋体" w:eastAsia="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840" w:type="dxa"/>
            <w:vAlign w:val="center"/>
          </w:tcPr>
          <w:p>
            <w:pPr>
              <w:adjustRightInd w:val="0"/>
              <w:snapToGrid w:val="0"/>
              <w:jc w:val="center"/>
              <w:rPr>
                <w:rFonts w:ascii="宋体" w:hAnsi="宋体"/>
                <w:szCs w:val="21"/>
              </w:rPr>
            </w:pPr>
            <w:r>
              <w:rPr>
                <w:rFonts w:hint="eastAsia" w:ascii="宋体" w:hAnsi="宋体" w:eastAsia="宋体"/>
                <w:szCs w:val="21"/>
              </w:rPr>
              <w:t>刘松梅</w:t>
            </w:r>
          </w:p>
        </w:tc>
        <w:tc>
          <w:tcPr>
            <w:tcW w:w="489" w:type="dxa"/>
            <w:vAlign w:val="center"/>
          </w:tcPr>
          <w:p>
            <w:pPr>
              <w:adjustRightInd w:val="0"/>
              <w:snapToGrid w:val="0"/>
              <w:jc w:val="center"/>
              <w:rPr>
                <w:rFonts w:ascii="宋体" w:hAnsi="宋体"/>
                <w:szCs w:val="21"/>
              </w:rPr>
            </w:pPr>
            <w:r>
              <w:rPr>
                <w:rFonts w:hint="eastAsia" w:ascii="宋体" w:hAnsi="宋体"/>
                <w:szCs w:val="21"/>
              </w:rPr>
              <w:t>4</w:t>
            </w:r>
          </w:p>
        </w:tc>
        <w:tc>
          <w:tcPr>
            <w:tcW w:w="616" w:type="dxa"/>
            <w:vAlign w:val="center"/>
          </w:tcPr>
          <w:p>
            <w:pPr>
              <w:adjustRightInd w:val="0"/>
              <w:snapToGrid w:val="0"/>
              <w:jc w:val="center"/>
              <w:rPr>
                <w:rFonts w:ascii="宋体" w:hAnsi="宋体"/>
                <w:szCs w:val="21"/>
              </w:rPr>
            </w:pPr>
          </w:p>
        </w:tc>
        <w:tc>
          <w:tcPr>
            <w:tcW w:w="614" w:type="dxa"/>
            <w:vAlign w:val="center"/>
          </w:tcPr>
          <w:p>
            <w:pPr>
              <w:adjustRightInd w:val="0"/>
              <w:snapToGrid w:val="0"/>
              <w:jc w:val="center"/>
              <w:rPr>
                <w:rFonts w:ascii="宋体" w:hAnsi="宋体"/>
                <w:szCs w:val="21"/>
              </w:rPr>
            </w:pPr>
            <w:r>
              <w:rPr>
                <w:rFonts w:hint="eastAsia" w:ascii="宋体" w:hAnsi="宋体" w:eastAsia="宋体"/>
                <w:szCs w:val="21"/>
              </w:rPr>
              <w:t>副教授</w:t>
            </w:r>
          </w:p>
        </w:tc>
        <w:tc>
          <w:tcPr>
            <w:tcW w:w="1093" w:type="dxa"/>
            <w:vAlign w:val="center"/>
          </w:tcPr>
          <w:p>
            <w:pPr>
              <w:adjustRightInd w:val="0"/>
              <w:snapToGrid w:val="0"/>
              <w:jc w:val="center"/>
              <w:rPr>
                <w:rFonts w:ascii="宋体" w:hAnsi="宋体"/>
                <w:szCs w:val="21"/>
              </w:rPr>
            </w:pPr>
            <w:r>
              <w:rPr>
                <w:rFonts w:hint="eastAsia" w:ascii="宋体" w:hAnsi="宋体" w:eastAsia="宋体"/>
                <w:szCs w:val="21"/>
              </w:rPr>
              <w:t>武汉大学</w:t>
            </w:r>
          </w:p>
        </w:tc>
        <w:tc>
          <w:tcPr>
            <w:tcW w:w="992" w:type="dxa"/>
            <w:vAlign w:val="center"/>
          </w:tcPr>
          <w:p>
            <w:pPr>
              <w:adjustRightInd w:val="0"/>
              <w:snapToGrid w:val="0"/>
              <w:jc w:val="center"/>
              <w:rPr>
                <w:rFonts w:ascii="宋体" w:hAnsi="宋体"/>
                <w:szCs w:val="21"/>
              </w:rPr>
            </w:pPr>
            <w:r>
              <w:rPr>
                <w:rFonts w:hint="eastAsia" w:ascii="宋体" w:hAnsi="宋体" w:eastAsia="宋体"/>
                <w:szCs w:val="21"/>
              </w:rPr>
              <w:t>武汉大学</w:t>
            </w:r>
          </w:p>
        </w:tc>
        <w:tc>
          <w:tcPr>
            <w:tcW w:w="4132" w:type="dxa"/>
          </w:tcPr>
          <w:p>
            <w:pPr>
              <w:adjustRightInd w:val="0"/>
              <w:snapToGrid w:val="0"/>
              <w:jc w:val="center"/>
              <w:rPr>
                <w:rFonts w:ascii="宋体" w:hAnsi="宋体"/>
                <w:szCs w:val="21"/>
              </w:rPr>
            </w:pPr>
            <w:r>
              <w:rPr>
                <w:rFonts w:hint="eastAsia" w:ascii="宋体" w:hAnsi="宋体" w:eastAsia="宋体"/>
                <w:szCs w:val="21"/>
              </w:rPr>
              <w:t>项目主要参加人，在</w:t>
            </w:r>
            <w:r>
              <w:rPr>
                <w:rFonts w:ascii="宋体" w:hAnsi="宋体" w:eastAsia="宋体"/>
                <w:szCs w:val="21"/>
              </w:rPr>
              <w:t>肝癌、</w:t>
            </w:r>
            <w:r>
              <w:rPr>
                <w:rFonts w:hint="eastAsia" w:ascii="宋体" w:hAnsi="宋体" w:eastAsia="宋体"/>
                <w:szCs w:val="21"/>
              </w:rPr>
              <w:t>乳</w:t>
            </w:r>
            <w:r>
              <w:rPr>
                <w:rFonts w:ascii="宋体" w:hAnsi="宋体" w:eastAsia="宋体"/>
                <w:szCs w:val="21"/>
              </w:rPr>
              <w:t>腺癌和糖尿病的</w:t>
            </w:r>
            <w:r>
              <w:rPr>
                <w:rFonts w:hint="eastAsia" w:ascii="宋体" w:hAnsi="宋体" w:eastAsia="宋体"/>
                <w:szCs w:val="21"/>
              </w:rPr>
              <w:t>基因</w:t>
            </w:r>
            <w:r>
              <w:rPr>
                <w:rFonts w:ascii="宋体" w:hAnsi="宋体" w:eastAsia="宋体"/>
                <w:szCs w:val="21"/>
              </w:rPr>
              <w:t>诊断及发病</w:t>
            </w:r>
            <w:r>
              <w:rPr>
                <w:rFonts w:hint="eastAsia" w:ascii="宋体" w:hAnsi="宋体" w:eastAsia="宋体"/>
                <w:szCs w:val="21"/>
              </w:rPr>
              <w:t>机制等方面开展了系统研究工作。发现点4的部分贡献者，是代表性论文8</w:t>
            </w:r>
            <w:r>
              <w:rPr>
                <w:rFonts w:ascii="宋体" w:hAnsi="宋体" w:eastAsia="宋体"/>
                <w:szCs w:val="21"/>
              </w:rPr>
              <w:t>通讯</w:t>
            </w:r>
            <w:r>
              <w:rPr>
                <w:rFonts w:hint="eastAsia" w:ascii="宋体" w:hAnsi="宋体" w:eastAsia="宋体"/>
                <w:szCs w:val="21"/>
              </w:rPr>
              <w:t>作者，工作量占本人工作量的</w:t>
            </w:r>
            <w:r>
              <w:rPr>
                <w:rFonts w:ascii="宋体" w:hAnsi="宋体" w:eastAsia="宋体"/>
                <w:szCs w:val="21"/>
              </w:rPr>
              <w:t>40%</w:t>
            </w:r>
            <w:r>
              <w:rPr>
                <w:rFonts w:hint="eastAsia" w:ascii="宋体" w:hAnsi="宋体" w:eastAsia="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840" w:type="dxa"/>
            <w:vAlign w:val="center"/>
          </w:tcPr>
          <w:p>
            <w:pPr>
              <w:adjustRightInd w:val="0"/>
              <w:snapToGrid w:val="0"/>
              <w:jc w:val="center"/>
              <w:rPr>
                <w:rFonts w:ascii="宋体" w:hAnsi="宋体"/>
                <w:szCs w:val="21"/>
              </w:rPr>
            </w:pPr>
            <w:r>
              <w:rPr>
                <w:rFonts w:hint="eastAsia" w:ascii="宋体" w:hAnsi="宋体" w:eastAsia="宋体"/>
                <w:szCs w:val="21"/>
              </w:rPr>
              <w:t>郝玉华</w:t>
            </w:r>
          </w:p>
        </w:tc>
        <w:tc>
          <w:tcPr>
            <w:tcW w:w="489" w:type="dxa"/>
            <w:vAlign w:val="center"/>
          </w:tcPr>
          <w:p>
            <w:pPr>
              <w:adjustRightInd w:val="0"/>
              <w:snapToGrid w:val="0"/>
              <w:jc w:val="center"/>
              <w:rPr>
                <w:rFonts w:ascii="宋体" w:hAnsi="宋体"/>
                <w:szCs w:val="21"/>
              </w:rPr>
            </w:pPr>
            <w:r>
              <w:rPr>
                <w:rFonts w:hint="eastAsia" w:ascii="宋体" w:hAnsi="宋体"/>
                <w:szCs w:val="21"/>
              </w:rPr>
              <w:t>5</w:t>
            </w:r>
          </w:p>
        </w:tc>
        <w:tc>
          <w:tcPr>
            <w:tcW w:w="616" w:type="dxa"/>
            <w:vAlign w:val="center"/>
          </w:tcPr>
          <w:p>
            <w:pPr>
              <w:adjustRightInd w:val="0"/>
              <w:snapToGrid w:val="0"/>
              <w:jc w:val="center"/>
              <w:rPr>
                <w:rFonts w:ascii="宋体" w:hAnsi="宋体"/>
                <w:szCs w:val="21"/>
              </w:rPr>
            </w:pPr>
          </w:p>
        </w:tc>
        <w:tc>
          <w:tcPr>
            <w:tcW w:w="614" w:type="dxa"/>
            <w:vAlign w:val="center"/>
          </w:tcPr>
          <w:p>
            <w:pPr>
              <w:adjustRightInd w:val="0"/>
              <w:snapToGrid w:val="0"/>
              <w:jc w:val="center"/>
              <w:rPr>
                <w:rFonts w:ascii="宋体" w:hAnsi="宋体"/>
                <w:szCs w:val="21"/>
              </w:rPr>
            </w:pPr>
            <w:r>
              <w:rPr>
                <w:rFonts w:hint="eastAsia" w:ascii="宋体" w:hAnsi="宋体" w:eastAsia="宋体"/>
                <w:szCs w:val="21"/>
              </w:rPr>
              <w:t>高级实验师</w:t>
            </w:r>
          </w:p>
        </w:tc>
        <w:tc>
          <w:tcPr>
            <w:tcW w:w="1093" w:type="dxa"/>
            <w:vAlign w:val="center"/>
          </w:tcPr>
          <w:p>
            <w:pPr>
              <w:adjustRightInd w:val="0"/>
              <w:snapToGrid w:val="0"/>
              <w:jc w:val="center"/>
              <w:rPr>
                <w:rFonts w:ascii="宋体" w:hAnsi="宋体"/>
                <w:szCs w:val="21"/>
              </w:rPr>
            </w:pPr>
            <w:r>
              <w:rPr>
                <w:rFonts w:hint="eastAsia" w:ascii="宋体" w:hAnsi="宋体" w:eastAsia="宋体"/>
                <w:szCs w:val="21"/>
              </w:rPr>
              <w:t>中国科学院动物研究所</w:t>
            </w:r>
          </w:p>
        </w:tc>
        <w:tc>
          <w:tcPr>
            <w:tcW w:w="992" w:type="dxa"/>
            <w:vAlign w:val="center"/>
          </w:tcPr>
          <w:p>
            <w:pPr>
              <w:adjustRightInd w:val="0"/>
              <w:snapToGrid w:val="0"/>
              <w:jc w:val="center"/>
              <w:rPr>
                <w:rFonts w:ascii="宋体" w:hAnsi="宋体"/>
                <w:szCs w:val="21"/>
              </w:rPr>
            </w:pPr>
            <w:r>
              <w:rPr>
                <w:rFonts w:hint="eastAsia" w:ascii="宋体" w:hAnsi="宋体" w:eastAsia="宋体"/>
                <w:szCs w:val="21"/>
              </w:rPr>
              <w:t>中国科学院动物研究所</w:t>
            </w:r>
          </w:p>
        </w:tc>
        <w:tc>
          <w:tcPr>
            <w:tcW w:w="4132" w:type="dxa"/>
          </w:tcPr>
          <w:p>
            <w:pPr>
              <w:spacing w:line="360" w:lineRule="atLeast"/>
              <w:ind w:firstLine="435"/>
              <w:rPr>
                <w:rFonts w:ascii="宋体" w:hAnsi="宋体" w:eastAsia="宋体"/>
                <w:szCs w:val="21"/>
              </w:rPr>
            </w:pPr>
            <w:r>
              <w:rPr>
                <w:rFonts w:hint="eastAsia" w:ascii="宋体" w:hAnsi="宋体" w:eastAsia="宋体"/>
                <w:szCs w:val="21"/>
              </w:rPr>
              <w:t>利用小分子与四链核酸的相互作用，发现了端粒 DNA 在分子拥挤条件下经酶促反应释放后的折叠过程，发现新的折叠成热力学平衡条件下的反平行构象。发现点1主要贡献者，是代表性论文4</w:t>
            </w:r>
            <w:r>
              <w:rPr>
                <w:rFonts w:ascii="宋体" w:hAnsi="宋体" w:eastAsia="宋体"/>
                <w:szCs w:val="21"/>
              </w:rPr>
              <w:t xml:space="preserve">, </w:t>
            </w:r>
            <w:r>
              <w:rPr>
                <w:rFonts w:hint="eastAsia" w:ascii="宋体" w:hAnsi="宋体" w:eastAsia="宋体"/>
                <w:szCs w:val="21"/>
              </w:rPr>
              <w:t>5，7的作者，工作量占本人工作量的4</w:t>
            </w:r>
            <w:r>
              <w:rPr>
                <w:rFonts w:ascii="宋体" w:hAnsi="宋体" w:eastAsia="宋体"/>
                <w:szCs w:val="21"/>
              </w:rPr>
              <w:t>0%</w:t>
            </w:r>
            <w:r>
              <w:rPr>
                <w:rFonts w:hint="eastAsia" w:ascii="宋体" w:hAnsi="宋体" w:eastAsia="宋体"/>
                <w:szCs w:val="21"/>
              </w:rPr>
              <w:t>。</w:t>
            </w:r>
          </w:p>
          <w:p>
            <w:pPr>
              <w:adjustRightInd w:val="0"/>
              <w:snapToGrid w:val="0"/>
              <w:jc w:val="center"/>
              <w:rPr>
                <w:rFonts w:ascii="宋体" w:hAnsi="宋体"/>
                <w:szCs w:val="21"/>
              </w:rPr>
            </w:pPr>
          </w:p>
        </w:tc>
      </w:tr>
    </w:tbl>
    <w:p>
      <w:pPr>
        <w:jc w:val="center"/>
        <w:rPr>
          <w:rFonts w:ascii="仿宋" w:hAnsi="仿宋" w:eastAsia="仿宋"/>
          <w:b/>
          <w:sz w:val="32"/>
          <w:szCs w:val="32"/>
        </w:rPr>
      </w:pPr>
      <w:r>
        <w:rPr>
          <w:rFonts w:hint="eastAsia" w:ascii="仿宋" w:hAnsi="仿宋" w:eastAsia="仿宋"/>
          <w:b/>
          <w:sz w:val="32"/>
          <w:szCs w:val="32"/>
        </w:rPr>
        <w:t>完成任务合作关系说明</w:t>
      </w:r>
    </w:p>
    <w:p>
      <w:pPr>
        <w:ind w:firstLine="640" w:firstLineChars="200"/>
        <w:rPr>
          <w:rFonts w:ascii="仿宋" w:hAnsi="仿宋" w:eastAsia="仿宋"/>
          <w:sz w:val="32"/>
          <w:szCs w:val="32"/>
        </w:rPr>
      </w:pPr>
      <w:r>
        <w:rPr>
          <w:rFonts w:hint="eastAsia" w:ascii="仿宋" w:hAnsi="仿宋" w:eastAsia="仿宋"/>
          <w:sz w:val="32"/>
          <w:szCs w:val="32"/>
        </w:rPr>
        <w:t>第一完成人与第二完成人长期合作，曾经获得重大研究计划项目重点项目（化学小分子探针对染色体端粒DNA结构、生物学活性及相关信号转导的干预和影响90813031）共同主持人，合作发表学术论文5篇（ChemBioChem, 2006, 7, 1155（共同通讯作者）；ChemBioChem, 2007, 8, 775； J. Am. Chem. Soc., 2011,133, 1475； Talanta, 2011, 87, 216； Angew. Chem. Int. Ed., 2014, 53, 13110）；作者二的论文Angew. Chem. Int. Ed., 2011, 50, 8046； J. Am. Chem. Soc. 2011, 133, 15036等论文是由第一完成人团队提供小分子给第二完成人开展工作的；在前期工作基础上，2014年第一和第二完成人合作获得国家自然科学基金委重点项目（题目：小分子与核酸的相互识别和调控作用，共同主持人）资助。</w:t>
      </w:r>
    </w:p>
    <w:p>
      <w:pPr>
        <w:ind w:firstLine="640" w:firstLineChars="200"/>
        <w:rPr>
          <w:rFonts w:ascii="仿宋" w:hAnsi="仿宋" w:eastAsia="仿宋"/>
          <w:sz w:val="32"/>
          <w:szCs w:val="32"/>
        </w:rPr>
      </w:pPr>
      <w:r>
        <w:rPr>
          <w:rFonts w:hint="eastAsia" w:ascii="仿宋" w:hAnsi="仿宋" w:eastAsia="仿宋"/>
          <w:sz w:val="32"/>
          <w:szCs w:val="32"/>
        </w:rPr>
        <w:t>第三完成人翁小成的成果是在第一完成人指导下读博士期间完成的，现在是第一完成人团队的主要成员之一。</w:t>
      </w:r>
    </w:p>
    <w:p>
      <w:pPr>
        <w:ind w:firstLine="640" w:firstLineChars="200"/>
        <w:rPr>
          <w:rFonts w:ascii="仿宋" w:hAnsi="仿宋" w:eastAsia="仿宋"/>
          <w:sz w:val="32"/>
          <w:szCs w:val="32"/>
        </w:rPr>
      </w:pPr>
      <w:r>
        <w:rPr>
          <w:rFonts w:hint="eastAsia" w:ascii="仿宋" w:hAnsi="仿宋" w:eastAsia="仿宋"/>
          <w:sz w:val="32"/>
          <w:szCs w:val="32"/>
        </w:rPr>
        <w:t>第四完成人刘松梅与第一完成人长期合作并为第一完成人国家科技部973项目（2012CB720600 基于核酸的重大疾病诊断新策略和新技术研究）的主要参加者，已合作发表多篇学术论文（Chem. Commun., 2012, 48, 10031；Chem.Comm., 2013, 49, 75；Chem. Eur. J., 2013,19, 92；Chem. Comm., 2013, 49, 10085；Chem. Commun., 2013, 49, 2652; ACS Appl. Mater. Interfaces, 2016, 8, 23542.）。</w:t>
      </w:r>
    </w:p>
    <w:p>
      <w:pPr>
        <w:ind w:firstLine="640" w:firstLineChars="200"/>
        <w:rPr>
          <w:rFonts w:ascii="仿宋" w:hAnsi="仿宋" w:eastAsia="仿宋"/>
          <w:sz w:val="32"/>
          <w:szCs w:val="32"/>
        </w:rPr>
      </w:pPr>
      <w:r>
        <w:rPr>
          <w:rFonts w:hint="eastAsia" w:ascii="仿宋" w:hAnsi="仿宋" w:eastAsia="仿宋"/>
          <w:sz w:val="32"/>
          <w:szCs w:val="32"/>
        </w:rPr>
        <w:t>第五完成人郝玉华是第一完成人主持项目（2012CB720600 基于核酸的重大疾病诊断新策略和新技术研究）主要参与者，第五完成人是第二完成人团队主要成员之一。</w:t>
      </w:r>
    </w:p>
    <w:p>
      <w:pPr>
        <w:jc w:val="center"/>
        <w:rPr>
          <w:rFonts w:ascii="仿宋" w:hAnsi="仿宋" w:eastAsia="仿宋"/>
          <w:b/>
          <w:sz w:val="32"/>
          <w:szCs w:val="32"/>
        </w:rPr>
      </w:pPr>
    </w:p>
    <w:p>
      <w:pPr>
        <w:jc w:val="center"/>
        <w:rPr>
          <w:rFonts w:ascii="仿宋" w:hAnsi="仿宋" w:eastAsia="仿宋"/>
          <w:b/>
          <w:sz w:val="32"/>
          <w:szCs w:val="32"/>
        </w:rPr>
      </w:pPr>
    </w:p>
    <w:p>
      <w:pPr>
        <w:jc w:val="center"/>
        <w:rPr>
          <w:rFonts w:hint="eastAsia" w:ascii="仿宋" w:hAnsi="仿宋" w:eastAsia="仿宋"/>
          <w:b/>
          <w:sz w:val="32"/>
          <w:szCs w:val="32"/>
        </w:rPr>
      </w:pPr>
    </w:p>
    <w:p>
      <w:pPr>
        <w:jc w:val="center"/>
        <w:rPr>
          <w:rFonts w:hint="eastAsia" w:ascii="仿宋" w:hAnsi="仿宋" w:eastAsia="仿宋"/>
          <w:b/>
          <w:sz w:val="32"/>
          <w:szCs w:val="32"/>
        </w:rPr>
      </w:pPr>
    </w:p>
    <w:p>
      <w:pPr>
        <w:jc w:val="center"/>
        <w:rPr>
          <w:rFonts w:hint="eastAsia" w:ascii="仿宋" w:hAnsi="仿宋" w:eastAsia="仿宋"/>
          <w:b/>
          <w:sz w:val="32"/>
          <w:szCs w:val="32"/>
        </w:rPr>
      </w:pPr>
    </w:p>
    <w:p>
      <w:pPr>
        <w:jc w:val="center"/>
        <w:rPr>
          <w:rFonts w:hint="eastAsia" w:ascii="仿宋" w:hAnsi="仿宋" w:eastAsia="仿宋"/>
          <w:b/>
          <w:sz w:val="32"/>
          <w:szCs w:val="32"/>
        </w:rPr>
      </w:pPr>
    </w:p>
    <w:p>
      <w:pPr>
        <w:jc w:val="center"/>
        <w:rPr>
          <w:rFonts w:hint="eastAsia" w:ascii="仿宋" w:hAnsi="仿宋" w:eastAsia="仿宋"/>
          <w:b/>
          <w:sz w:val="32"/>
          <w:szCs w:val="32"/>
        </w:rPr>
      </w:pPr>
    </w:p>
    <w:p>
      <w:pPr>
        <w:jc w:val="center"/>
        <w:rPr>
          <w:rFonts w:hint="eastAsia" w:ascii="仿宋" w:hAnsi="仿宋" w:eastAsia="仿宋"/>
          <w:b/>
          <w:sz w:val="32"/>
          <w:szCs w:val="32"/>
        </w:rPr>
      </w:pPr>
    </w:p>
    <w:p>
      <w:pPr>
        <w:jc w:val="center"/>
        <w:rPr>
          <w:rFonts w:hint="eastAsia" w:ascii="仿宋" w:hAnsi="仿宋" w:eastAsia="仿宋"/>
          <w:b/>
          <w:sz w:val="32"/>
          <w:szCs w:val="32"/>
        </w:rPr>
      </w:pPr>
    </w:p>
    <w:p>
      <w:pPr>
        <w:jc w:val="center"/>
        <w:rPr>
          <w:rFonts w:hint="eastAsia" w:ascii="仿宋" w:hAnsi="仿宋" w:eastAsia="仿宋"/>
          <w:b/>
          <w:sz w:val="32"/>
          <w:szCs w:val="32"/>
        </w:rPr>
      </w:pPr>
    </w:p>
    <w:p>
      <w:pPr>
        <w:jc w:val="center"/>
        <w:rPr>
          <w:rFonts w:hint="eastAsia" w:ascii="仿宋" w:hAnsi="仿宋" w:eastAsia="仿宋"/>
          <w:b/>
          <w:sz w:val="32"/>
          <w:szCs w:val="32"/>
        </w:rPr>
      </w:pPr>
    </w:p>
    <w:p>
      <w:pPr>
        <w:jc w:val="center"/>
        <w:rPr>
          <w:rFonts w:hint="eastAsia" w:ascii="仿宋" w:hAnsi="仿宋" w:eastAsia="仿宋"/>
          <w:b/>
          <w:sz w:val="32"/>
          <w:szCs w:val="32"/>
        </w:rPr>
      </w:pPr>
    </w:p>
    <w:p>
      <w:pPr>
        <w:jc w:val="center"/>
        <w:rPr>
          <w:rFonts w:hint="eastAsia" w:ascii="仿宋" w:hAnsi="仿宋" w:eastAsia="仿宋"/>
          <w:b/>
          <w:sz w:val="32"/>
          <w:szCs w:val="32"/>
        </w:rPr>
      </w:pPr>
    </w:p>
    <w:p>
      <w:pPr>
        <w:jc w:val="center"/>
        <w:rPr>
          <w:rFonts w:ascii="仿宋" w:hAnsi="仿宋" w:eastAsia="仿宋"/>
          <w:b/>
          <w:sz w:val="32"/>
          <w:szCs w:val="32"/>
        </w:rPr>
      </w:pPr>
    </w:p>
    <w:p>
      <w:pPr>
        <w:jc w:val="center"/>
        <w:rPr>
          <w:rFonts w:ascii="仿宋" w:hAnsi="仿宋" w:eastAsia="仿宋"/>
          <w:b/>
          <w:sz w:val="32"/>
          <w:szCs w:val="32"/>
        </w:rPr>
      </w:pPr>
    </w:p>
    <w:p>
      <w:pPr>
        <w:jc w:val="center"/>
        <w:rPr>
          <w:rFonts w:ascii="仿宋" w:hAnsi="仿宋" w:eastAsia="仿宋"/>
          <w:b/>
          <w:sz w:val="32"/>
          <w:szCs w:val="32"/>
        </w:rPr>
      </w:pPr>
    </w:p>
    <w:p>
      <w:pPr>
        <w:jc w:val="center"/>
        <w:rPr>
          <w:rFonts w:ascii="仿宋" w:hAnsi="仿宋" w:eastAsia="仿宋"/>
          <w:b/>
          <w:sz w:val="32"/>
          <w:szCs w:val="32"/>
        </w:rPr>
      </w:pPr>
      <w:r>
        <w:rPr>
          <w:rFonts w:hint="eastAsia" w:ascii="仿宋" w:hAnsi="仿宋" w:eastAsia="仿宋"/>
          <w:b/>
          <w:sz w:val="32"/>
          <w:szCs w:val="32"/>
        </w:rPr>
        <w:t>知情同意证明</w:t>
      </w:r>
    </w:p>
    <w:p>
      <w:pPr>
        <w:ind w:firstLine="420" w:firstLineChars="200"/>
        <w:rPr>
          <w:rFonts w:ascii="仿宋" w:hAnsi="仿宋" w:eastAsia="仿宋"/>
          <w:sz w:val="32"/>
          <w:szCs w:val="32"/>
        </w:rPr>
      </w:pPr>
      <w:r>
        <w:rPr>
          <w:rFonts w:ascii="宋体" w:hAnsi="宋体"/>
          <w:color w:val="0D0D0D"/>
          <w:szCs w:val="24"/>
        </w:rPr>
        <w:drawing>
          <wp:inline distT="0" distB="0" distL="0" distR="0">
            <wp:extent cx="5274310" cy="7240905"/>
            <wp:effectExtent l="0" t="0" r="2540" b="0"/>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7241299"/>
                    </a:xfrm>
                    <a:prstGeom prst="rect">
                      <a:avLst/>
                    </a:prstGeom>
                    <a:noFill/>
                    <a:ln>
                      <a:noFill/>
                    </a:ln>
                  </pic:spPr>
                </pic:pic>
              </a:graphicData>
            </a:graphic>
          </wp:inline>
        </w:drawing>
      </w:r>
      <w:r>
        <w:rPr>
          <w:rFonts w:ascii="宋体" w:hAnsi="宋体"/>
          <w:color w:val="0D0D0D"/>
          <w:szCs w:val="24"/>
        </w:rPr>
        <w:drawing>
          <wp:inline distT="0" distB="0" distL="0" distR="0">
            <wp:extent cx="5274310" cy="7251700"/>
            <wp:effectExtent l="0" t="0" r="2540" b="6350"/>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7252101"/>
                    </a:xfrm>
                    <a:prstGeom prst="rect">
                      <a:avLst/>
                    </a:prstGeom>
                    <a:noFill/>
                    <a:ln>
                      <a:noFill/>
                    </a:ln>
                  </pic:spPr>
                </pic:pic>
              </a:graphicData>
            </a:graphic>
          </wp:inline>
        </w:drawing>
      </w:r>
      <w:r>
        <w:rPr>
          <w:rFonts w:ascii="宋体" w:hAnsi="宋体"/>
          <w:color w:val="0D0D0D"/>
          <w:szCs w:val="24"/>
        </w:rPr>
        <w:drawing>
          <wp:inline distT="0" distB="0" distL="0" distR="0">
            <wp:extent cx="5274310" cy="6840220"/>
            <wp:effectExtent l="0" t="0" r="2540" b="0"/>
            <wp:docPr id="4" name="图片 4" descr="知情证明-薛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知情证明-薛勇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6840650"/>
                    </a:xfrm>
                    <a:prstGeom prst="rect">
                      <a:avLst/>
                    </a:prstGeom>
                    <a:noFill/>
                    <a:ln>
                      <a:noFill/>
                    </a:ln>
                  </pic:spPr>
                </pic:pic>
              </a:graphicData>
            </a:graphic>
          </wp:inline>
        </w:drawing>
      </w:r>
    </w:p>
    <w:p>
      <w:pPr>
        <w:ind w:firstLine="420" w:firstLineChars="200"/>
        <w:rPr>
          <w:rFonts w:ascii="仿宋" w:hAnsi="仿宋" w:eastAsia="仿宋"/>
          <w:sz w:val="32"/>
          <w:szCs w:val="32"/>
        </w:rPr>
      </w:pPr>
      <w:r>
        <w:rPr>
          <w:rFonts w:ascii="宋体" w:hAnsi="宋体"/>
          <w:color w:val="0D0D0D"/>
          <w:szCs w:val="24"/>
        </w:rPr>
        <w:drawing>
          <wp:inline distT="0" distB="0" distL="0" distR="0">
            <wp:extent cx="5274310" cy="7358380"/>
            <wp:effectExtent l="0" t="0" r="2540" b="0"/>
            <wp:docPr id="3" name="图片 3" descr="知情证明-王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知情证明-王峰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7358616"/>
                    </a:xfrm>
                    <a:prstGeom prst="rect">
                      <a:avLst/>
                    </a:prstGeom>
                    <a:noFill/>
                    <a:ln>
                      <a:noFill/>
                    </a:ln>
                  </pic:spPr>
                </pic:pic>
              </a:graphicData>
            </a:graphic>
          </wp:inline>
        </w:drawing>
      </w:r>
    </w:p>
    <w:p>
      <w:pPr>
        <w:ind w:firstLine="420" w:firstLineChars="200"/>
        <w:rPr>
          <w:rFonts w:ascii="仿宋" w:hAnsi="仿宋" w:eastAsia="仿宋"/>
          <w:sz w:val="32"/>
          <w:szCs w:val="32"/>
        </w:rPr>
      </w:pPr>
      <w:r>
        <w:rPr>
          <w:rFonts w:ascii="宋体" w:hAnsi="宋体"/>
          <w:color w:val="0D0D0D"/>
          <w:szCs w:val="24"/>
        </w:rPr>
        <w:drawing>
          <wp:inline distT="0" distB="0" distL="0" distR="0">
            <wp:extent cx="5274310" cy="7460615"/>
            <wp:effectExtent l="0" t="0" r="2540" b="6985"/>
            <wp:docPr id="2" name="图片 2" descr="知情证明(付伯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知情证明(付伯桥)(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7460659"/>
                    </a:xfrm>
                    <a:prstGeom prst="rect">
                      <a:avLst/>
                    </a:prstGeom>
                    <a:noFill/>
                    <a:ln>
                      <a:noFill/>
                    </a:ln>
                  </pic:spPr>
                </pic:pic>
              </a:graphicData>
            </a:graphic>
          </wp:inline>
        </w:drawing>
      </w:r>
    </w:p>
    <w:p>
      <w:pPr>
        <w:ind w:firstLine="420" w:firstLineChars="200"/>
        <w:rPr>
          <w:rFonts w:ascii="仿宋" w:hAnsi="仿宋" w:eastAsia="仿宋"/>
          <w:sz w:val="32"/>
          <w:szCs w:val="32"/>
        </w:rPr>
      </w:pPr>
      <w:r>
        <w:rPr>
          <w:rFonts w:ascii="宋体" w:hAnsi="宋体"/>
          <w:color w:val="0D0D0D"/>
          <w:szCs w:val="24"/>
        </w:rPr>
        <w:drawing>
          <wp:inline distT="0" distB="0" distL="0" distR="0">
            <wp:extent cx="5274310" cy="7456170"/>
            <wp:effectExtent l="0" t="0" r="2540" b="0"/>
            <wp:docPr id="1" name="图片 1" descr="知情证明-汪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知情证明-汪泉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7456658"/>
                    </a:xfrm>
                    <a:prstGeom prst="rect">
                      <a:avLst/>
                    </a:prstGeom>
                    <a:noFill/>
                    <a:ln>
                      <a:noFill/>
                    </a:ln>
                  </pic:spPr>
                </pic:pic>
              </a:graphicData>
            </a:graphic>
          </wp:inline>
        </w:drawing>
      </w:r>
    </w:p>
    <w:p>
      <w:pPr>
        <w:ind w:firstLine="420" w:firstLineChars="200"/>
        <w:rPr>
          <w:rFonts w:ascii="仿宋" w:hAnsi="仿宋" w:eastAsia="仿宋"/>
          <w:sz w:val="32"/>
          <w:szCs w:val="32"/>
        </w:rPr>
      </w:pPr>
      <w:r>
        <w:rPr>
          <w:rFonts w:ascii="宋体" w:hAnsi="宋体"/>
          <w:color w:val="0D0D0D"/>
          <w:szCs w:val="24"/>
        </w:rPr>
        <w:drawing>
          <wp:inline distT="0" distB="0" distL="0" distR="0">
            <wp:extent cx="5274310" cy="7256145"/>
            <wp:effectExtent l="0" t="0" r="2540" b="1905"/>
            <wp:docPr id="8" name="图片 8"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7256406"/>
                    </a:xfrm>
                    <a:prstGeom prst="rect">
                      <a:avLst/>
                    </a:prstGeom>
                    <a:noFill/>
                    <a:ln>
                      <a:noFill/>
                    </a:ln>
                  </pic:spPr>
                </pic:pic>
              </a:graphicData>
            </a:graphic>
          </wp:inline>
        </w:drawing>
      </w:r>
    </w:p>
    <w:p>
      <w:pPr>
        <w:ind w:firstLine="420" w:firstLineChars="200"/>
        <w:rPr>
          <w:rFonts w:ascii="仿宋" w:hAnsi="仿宋" w:eastAsia="仿宋"/>
          <w:sz w:val="32"/>
          <w:szCs w:val="32"/>
        </w:rPr>
      </w:pPr>
      <w:r>
        <w:rPr>
          <w:rFonts w:ascii="宋体" w:hAnsi="宋体"/>
          <w:color w:val="0D0D0D"/>
          <w:szCs w:val="24"/>
        </w:rPr>
        <w:drawing>
          <wp:inline distT="0" distB="0" distL="0" distR="0">
            <wp:extent cx="5274310" cy="7256145"/>
            <wp:effectExtent l="0" t="0" r="2540" b="1905"/>
            <wp:docPr id="7" name="图片 7"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7256406"/>
                    </a:xfrm>
                    <a:prstGeom prst="rect">
                      <a:avLst/>
                    </a:prstGeom>
                    <a:noFill/>
                    <a:ln>
                      <a:noFill/>
                    </a:ln>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Calibri Light">
    <w:panose1 w:val="020F0302020204030204"/>
    <w:charset w:val="00"/>
    <w:family w:val="swiss"/>
    <w:pitch w:val="default"/>
    <w:sig w:usb0="E0002AFF" w:usb1="C000247B" w:usb2="00000009" w:usb3="00000000" w:csb0="200001FF" w:csb1="00000000"/>
  </w:font>
  <w:font w:name="方正仿宋简体">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143864"/>
      <w:docPartObj>
        <w:docPartGallery w:val="AutoText"/>
      </w:docPartObj>
    </w:sdtPr>
    <w:sdtEndPr>
      <w:rPr>
        <w:sz w:val="28"/>
        <w:szCs w:val="28"/>
      </w:rPr>
    </w:sdtEndPr>
    <w:sdtContent>
      <w:p>
        <w:pPr>
          <w:pStyle w:val="17"/>
          <w:jc w:val="center"/>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25</w:t>
        </w:r>
        <w:r>
          <w:rPr>
            <w:sz w:val="28"/>
            <w:szCs w:val="28"/>
          </w:rPr>
          <w:fldChar w:fldCharType="end"/>
        </w:r>
      </w:p>
    </w:sdtContent>
  </w:sdt>
  <w:p>
    <w:pPr>
      <w:pStyle w:val="17"/>
    </w:pPr>
  </w:p>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val="1"/>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5C4"/>
    <w:rsid w:val="00014F63"/>
    <w:rsid w:val="00026ED2"/>
    <w:rsid w:val="0009607C"/>
    <w:rsid w:val="000A3EE3"/>
    <w:rsid w:val="000E22F7"/>
    <w:rsid w:val="001A5C18"/>
    <w:rsid w:val="001D4068"/>
    <w:rsid w:val="00237C6A"/>
    <w:rsid w:val="0027616B"/>
    <w:rsid w:val="002C3DD9"/>
    <w:rsid w:val="002D7F96"/>
    <w:rsid w:val="003146BF"/>
    <w:rsid w:val="00323707"/>
    <w:rsid w:val="00334836"/>
    <w:rsid w:val="00336512"/>
    <w:rsid w:val="00340107"/>
    <w:rsid w:val="00380BF4"/>
    <w:rsid w:val="00383DA8"/>
    <w:rsid w:val="003918B0"/>
    <w:rsid w:val="00406FE5"/>
    <w:rsid w:val="004823D3"/>
    <w:rsid w:val="0049620A"/>
    <w:rsid w:val="004A233E"/>
    <w:rsid w:val="004A31B8"/>
    <w:rsid w:val="004E14D0"/>
    <w:rsid w:val="004F396B"/>
    <w:rsid w:val="00583CD0"/>
    <w:rsid w:val="00586159"/>
    <w:rsid w:val="005D571E"/>
    <w:rsid w:val="005E0E7A"/>
    <w:rsid w:val="005E5AE9"/>
    <w:rsid w:val="006017F4"/>
    <w:rsid w:val="00615EF9"/>
    <w:rsid w:val="00630B51"/>
    <w:rsid w:val="00643EDE"/>
    <w:rsid w:val="00661700"/>
    <w:rsid w:val="006626BE"/>
    <w:rsid w:val="006715BD"/>
    <w:rsid w:val="00671741"/>
    <w:rsid w:val="00672E02"/>
    <w:rsid w:val="00685523"/>
    <w:rsid w:val="006C0CC6"/>
    <w:rsid w:val="006C61FB"/>
    <w:rsid w:val="00717978"/>
    <w:rsid w:val="00724105"/>
    <w:rsid w:val="007543C5"/>
    <w:rsid w:val="00794169"/>
    <w:rsid w:val="007B35B2"/>
    <w:rsid w:val="007B52B9"/>
    <w:rsid w:val="007F2F0F"/>
    <w:rsid w:val="007F68F6"/>
    <w:rsid w:val="00815275"/>
    <w:rsid w:val="00852227"/>
    <w:rsid w:val="00883EC3"/>
    <w:rsid w:val="008B310C"/>
    <w:rsid w:val="008F1BCE"/>
    <w:rsid w:val="009350EC"/>
    <w:rsid w:val="00943CC8"/>
    <w:rsid w:val="009672B0"/>
    <w:rsid w:val="009719C3"/>
    <w:rsid w:val="00987544"/>
    <w:rsid w:val="009A586B"/>
    <w:rsid w:val="009A5FE0"/>
    <w:rsid w:val="009F7BF2"/>
    <w:rsid w:val="00A172D5"/>
    <w:rsid w:val="00A210C6"/>
    <w:rsid w:val="00A60BBB"/>
    <w:rsid w:val="00AB3410"/>
    <w:rsid w:val="00AF3FFA"/>
    <w:rsid w:val="00B05EA2"/>
    <w:rsid w:val="00B313BD"/>
    <w:rsid w:val="00B735C4"/>
    <w:rsid w:val="00B74755"/>
    <w:rsid w:val="00BA2282"/>
    <w:rsid w:val="00BB47BE"/>
    <w:rsid w:val="00C45DFD"/>
    <w:rsid w:val="00C52EA6"/>
    <w:rsid w:val="00C66854"/>
    <w:rsid w:val="00CC5C82"/>
    <w:rsid w:val="00CE27F1"/>
    <w:rsid w:val="00CF0323"/>
    <w:rsid w:val="00D059E5"/>
    <w:rsid w:val="00D76897"/>
    <w:rsid w:val="00D9482D"/>
    <w:rsid w:val="00DB1F90"/>
    <w:rsid w:val="00DB2C65"/>
    <w:rsid w:val="00DB3CFA"/>
    <w:rsid w:val="00DC56DA"/>
    <w:rsid w:val="00E74A79"/>
    <w:rsid w:val="00EA08A2"/>
    <w:rsid w:val="00EC7EF8"/>
    <w:rsid w:val="00EE4325"/>
    <w:rsid w:val="00EF4EA4"/>
    <w:rsid w:val="00F40BCD"/>
    <w:rsid w:val="00F40D80"/>
    <w:rsid w:val="00F732E1"/>
    <w:rsid w:val="00FA174C"/>
    <w:rsid w:val="00FC443B"/>
    <w:rsid w:val="00FD7D81"/>
    <w:rsid w:val="417848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name="Body Text Indent 2"/>
    <w:lsdException w:qFormat="1" w:unhideWhenUsed="0"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2"/>
    <w:qFormat/>
    <w:uiPriority w:val="0"/>
    <w:pPr>
      <w:keepNext/>
      <w:keepLines/>
      <w:spacing w:line="240" w:lineRule="atLeast"/>
      <w:jc w:val="center"/>
      <w:outlineLvl w:val="0"/>
    </w:pPr>
    <w:rPr>
      <w:rFonts w:ascii="Times New Roman" w:hAnsi="Times New Roman" w:eastAsia="黑体" w:cs="Times New Roman"/>
      <w:b/>
      <w:bCs/>
      <w:kern w:val="44"/>
      <w:sz w:val="44"/>
      <w:szCs w:val="44"/>
    </w:rPr>
  </w:style>
  <w:style w:type="paragraph" w:styleId="3">
    <w:name w:val="heading 2"/>
    <w:basedOn w:val="1"/>
    <w:next w:val="1"/>
    <w:link w:val="33"/>
    <w:qFormat/>
    <w:uiPriority w:val="0"/>
    <w:pPr>
      <w:keepNext/>
      <w:keepLines/>
      <w:spacing w:before="260" w:after="260" w:line="416" w:lineRule="auto"/>
      <w:jc w:val="left"/>
      <w:outlineLvl w:val="1"/>
    </w:pPr>
    <w:rPr>
      <w:rFonts w:ascii="仿宋_GB2312" w:hAnsi="宋体" w:eastAsia="仿宋_GB2312" w:cs="Times New Roman"/>
      <w:b/>
      <w:bCs/>
      <w:sz w:val="30"/>
      <w:szCs w:val="30"/>
    </w:rPr>
  </w:style>
  <w:style w:type="paragraph" w:styleId="4">
    <w:name w:val="heading 3"/>
    <w:basedOn w:val="1"/>
    <w:next w:val="1"/>
    <w:link w:val="34"/>
    <w:qFormat/>
    <w:uiPriority w:val="0"/>
    <w:pPr>
      <w:keepNext/>
      <w:keepLines/>
      <w:spacing w:before="260" w:after="260" w:line="413" w:lineRule="auto"/>
      <w:ind w:left="100" w:leftChars="100" w:right="210" w:rightChars="100"/>
      <w:jc w:val="left"/>
      <w:outlineLvl w:val="2"/>
    </w:pPr>
    <w:rPr>
      <w:rFonts w:ascii="Times New Roman" w:hAnsi="Times New Roman" w:eastAsia="仿宋_GB2312" w:cs="Times New Roman"/>
      <w:b/>
      <w:sz w:val="30"/>
      <w:szCs w:val="20"/>
    </w:rPr>
  </w:style>
  <w:style w:type="paragraph" w:styleId="5">
    <w:name w:val="heading 4"/>
    <w:basedOn w:val="1"/>
    <w:next w:val="1"/>
    <w:link w:val="35"/>
    <w:qFormat/>
    <w:uiPriority w:val="0"/>
    <w:pPr>
      <w:keepNext/>
      <w:keepLines/>
      <w:spacing w:line="360" w:lineRule="auto"/>
      <w:ind w:left="1260" w:leftChars="600" w:right="1260" w:rightChars="600"/>
      <w:jc w:val="center"/>
      <w:outlineLvl w:val="3"/>
    </w:pPr>
    <w:rPr>
      <w:rFonts w:ascii="Cambria" w:hAnsi="Cambria" w:eastAsia="宋体" w:cs="Times New Roman"/>
      <w:bCs/>
      <w:sz w:val="28"/>
      <w:szCs w:val="28"/>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style>
  <w:style w:type="paragraph" w:styleId="7">
    <w:name w:val="Document Map"/>
    <w:basedOn w:val="1"/>
    <w:link w:val="67"/>
    <w:semiHidden/>
    <w:qFormat/>
    <w:uiPriority w:val="0"/>
    <w:pPr>
      <w:shd w:val="clear" w:color="auto" w:fill="000080"/>
    </w:pPr>
    <w:rPr>
      <w:rFonts w:ascii="Times New Roman" w:hAnsi="Times New Roman" w:eastAsia="宋体" w:cs="Times New Roman"/>
      <w:szCs w:val="20"/>
    </w:rPr>
  </w:style>
  <w:style w:type="paragraph" w:styleId="8">
    <w:name w:val="Body Text"/>
    <w:basedOn w:val="1"/>
    <w:link w:val="66"/>
    <w:semiHidden/>
    <w:qFormat/>
    <w:uiPriority w:val="0"/>
    <w:pPr>
      <w:spacing w:after="120"/>
    </w:pPr>
    <w:rPr>
      <w:rFonts w:ascii="Times New Roman" w:hAnsi="Times New Roman" w:eastAsia="宋体" w:cs="Times New Roman"/>
      <w:szCs w:val="20"/>
    </w:rPr>
  </w:style>
  <w:style w:type="paragraph" w:styleId="9">
    <w:name w:val="Body Text Indent"/>
    <w:basedOn w:val="1"/>
    <w:link w:val="55"/>
    <w:semiHidden/>
    <w:qFormat/>
    <w:uiPriority w:val="0"/>
    <w:pPr>
      <w:ind w:firstLine="660"/>
    </w:pPr>
    <w:rPr>
      <w:rFonts w:eastAsia="仿宋_GB2312"/>
      <w:sz w:val="32"/>
    </w:rPr>
  </w:style>
  <w:style w:type="paragraph" w:styleId="10">
    <w:name w:val="toc 5"/>
    <w:basedOn w:val="1"/>
    <w:next w:val="1"/>
    <w:unhideWhenUsed/>
    <w:qFormat/>
    <w:uiPriority w:val="39"/>
    <w:pPr>
      <w:ind w:left="1680" w:leftChars="800"/>
    </w:pPr>
  </w:style>
  <w:style w:type="paragraph" w:styleId="11">
    <w:name w:val="toc 3"/>
    <w:basedOn w:val="1"/>
    <w:next w:val="1"/>
    <w:unhideWhenUsed/>
    <w:qFormat/>
    <w:uiPriority w:val="0"/>
    <w:pPr>
      <w:ind w:left="840" w:leftChars="400"/>
    </w:pPr>
  </w:style>
  <w:style w:type="paragraph" w:styleId="12">
    <w:name w:val="Plain Text"/>
    <w:basedOn w:val="1"/>
    <w:link w:val="39"/>
    <w:qFormat/>
    <w:uiPriority w:val="0"/>
    <w:pPr>
      <w:spacing w:line="360" w:lineRule="auto"/>
      <w:ind w:firstLine="480" w:firstLineChars="200"/>
    </w:pPr>
    <w:rPr>
      <w:rFonts w:ascii="仿宋_GB2312" w:hAnsi="Times New Roman" w:eastAsia="宋体" w:cs="Times New Roman"/>
      <w:sz w:val="24"/>
      <w:szCs w:val="20"/>
      <w:lang w:val="zh-CN" w:eastAsia="zh-CN"/>
    </w:rPr>
  </w:style>
  <w:style w:type="paragraph" w:styleId="13">
    <w:name w:val="toc 8"/>
    <w:basedOn w:val="1"/>
    <w:next w:val="1"/>
    <w:unhideWhenUsed/>
    <w:qFormat/>
    <w:uiPriority w:val="39"/>
    <w:pPr>
      <w:ind w:left="2940" w:leftChars="1400"/>
    </w:pPr>
  </w:style>
  <w:style w:type="paragraph" w:styleId="14">
    <w:name w:val="Date"/>
    <w:basedOn w:val="1"/>
    <w:next w:val="1"/>
    <w:link w:val="53"/>
    <w:semiHidden/>
    <w:qFormat/>
    <w:uiPriority w:val="0"/>
    <w:pPr>
      <w:ind w:left="100" w:leftChars="2500"/>
    </w:pPr>
    <w:rPr>
      <w:b/>
      <w:sz w:val="32"/>
    </w:rPr>
  </w:style>
  <w:style w:type="paragraph" w:styleId="15">
    <w:name w:val="Body Text Indent 2"/>
    <w:basedOn w:val="1"/>
    <w:link w:val="59"/>
    <w:semiHidden/>
    <w:qFormat/>
    <w:uiPriority w:val="0"/>
    <w:pPr>
      <w:spacing w:after="120" w:line="480" w:lineRule="auto"/>
      <w:ind w:left="420" w:leftChars="200"/>
    </w:pPr>
  </w:style>
  <w:style w:type="paragraph" w:styleId="16">
    <w:name w:val="Balloon Text"/>
    <w:basedOn w:val="1"/>
    <w:link w:val="48"/>
    <w:unhideWhenUsed/>
    <w:qFormat/>
    <w:uiPriority w:val="0"/>
    <w:rPr>
      <w:rFonts w:ascii="Calibri" w:hAnsi="Calibri" w:eastAsia="宋体" w:cs="Times New Roman"/>
      <w:sz w:val="18"/>
      <w:szCs w:val="18"/>
    </w:rPr>
  </w:style>
  <w:style w:type="paragraph" w:styleId="17">
    <w:name w:val="footer"/>
    <w:basedOn w:val="1"/>
    <w:link w:val="37"/>
    <w:unhideWhenUsed/>
    <w:uiPriority w:val="99"/>
    <w:pPr>
      <w:tabs>
        <w:tab w:val="center" w:pos="4153"/>
        <w:tab w:val="right" w:pos="8306"/>
      </w:tabs>
      <w:snapToGrid w:val="0"/>
      <w:jc w:val="left"/>
    </w:pPr>
    <w:rPr>
      <w:sz w:val="18"/>
      <w:szCs w:val="18"/>
    </w:rPr>
  </w:style>
  <w:style w:type="paragraph" w:styleId="18">
    <w:name w:val="header"/>
    <w:basedOn w:val="1"/>
    <w:link w:val="36"/>
    <w:unhideWhenUsed/>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style>
  <w:style w:type="paragraph" w:styleId="20">
    <w:name w:val="toc 4"/>
    <w:basedOn w:val="1"/>
    <w:next w:val="1"/>
    <w:unhideWhenUsed/>
    <w:qFormat/>
    <w:uiPriority w:val="39"/>
    <w:pPr>
      <w:ind w:left="1260" w:leftChars="600"/>
    </w:pPr>
  </w:style>
  <w:style w:type="paragraph" w:styleId="21">
    <w:name w:val="toc 6"/>
    <w:basedOn w:val="1"/>
    <w:next w:val="1"/>
    <w:unhideWhenUsed/>
    <w:qFormat/>
    <w:uiPriority w:val="39"/>
    <w:pPr>
      <w:ind w:left="2100" w:leftChars="1000"/>
    </w:pPr>
  </w:style>
  <w:style w:type="paragraph" w:styleId="22">
    <w:name w:val="Body Text Indent 3"/>
    <w:basedOn w:val="1"/>
    <w:link w:val="56"/>
    <w:semiHidden/>
    <w:qFormat/>
    <w:uiPriority w:val="0"/>
    <w:pPr>
      <w:ind w:firstLine="420" w:firstLineChars="200"/>
    </w:pPr>
  </w:style>
  <w:style w:type="paragraph" w:styleId="23">
    <w:name w:val="toc 2"/>
    <w:basedOn w:val="1"/>
    <w:next w:val="1"/>
    <w:unhideWhenUsed/>
    <w:qFormat/>
    <w:uiPriority w:val="39"/>
    <w:pPr>
      <w:ind w:left="420" w:leftChars="200"/>
    </w:pPr>
  </w:style>
  <w:style w:type="paragraph" w:styleId="24">
    <w:name w:val="toc 9"/>
    <w:basedOn w:val="1"/>
    <w:next w:val="1"/>
    <w:unhideWhenUsed/>
    <w:qFormat/>
    <w:uiPriority w:val="39"/>
    <w:pPr>
      <w:ind w:left="3360" w:leftChars="1600"/>
    </w:pPr>
  </w:style>
  <w:style w:type="paragraph" w:styleId="25">
    <w:name w:val="HTML Preformatted"/>
    <w:basedOn w:val="1"/>
    <w:link w:val="75"/>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26">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paragraph" w:styleId="27">
    <w:name w:val="Title"/>
    <w:basedOn w:val="1"/>
    <w:next w:val="1"/>
    <w:link w:val="70"/>
    <w:qFormat/>
    <w:uiPriority w:val="0"/>
    <w:pPr>
      <w:spacing w:before="240" w:after="60"/>
      <w:jc w:val="center"/>
      <w:outlineLvl w:val="0"/>
    </w:pPr>
    <w:rPr>
      <w:rFonts w:ascii="Cambria" w:hAnsi="Cambria" w:eastAsia="黑体" w:cs="Times New Roman"/>
      <w:b/>
      <w:bCs/>
      <w:sz w:val="52"/>
      <w:szCs w:val="32"/>
    </w:rPr>
  </w:style>
  <w:style w:type="table" w:styleId="29">
    <w:name w:val="Table Grid"/>
    <w:basedOn w:val="2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Hyperlink"/>
    <w:basedOn w:val="30"/>
    <w:unhideWhenUsed/>
    <w:qFormat/>
    <w:uiPriority w:val="99"/>
    <w:rPr>
      <w:color w:val="0563C1" w:themeColor="hyperlink"/>
      <w:u w:val="single"/>
      <w14:textFill>
        <w14:solidFill>
          <w14:schemeClr w14:val="hlink"/>
        </w14:solidFill>
      </w14:textFill>
    </w:rPr>
  </w:style>
  <w:style w:type="character" w:customStyle="1" w:styleId="32">
    <w:name w:val="标题 1 Char"/>
    <w:basedOn w:val="30"/>
    <w:link w:val="2"/>
    <w:qFormat/>
    <w:uiPriority w:val="0"/>
    <w:rPr>
      <w:rFonts w:ascii="Times New Roman" w:hAnsi="Times New Roman" w:eastAsia="黑体" w:cs="Times New Roman"/>
      <w:b/>
      <w:bCs/>
      <w:kern w:val="44"/>
      <w:sz w:val="44"/>
      <w:szCs w:val="44"/>
    </w:rPr>
  </w:style>
  <w:style w:type="character" w:customStyle="1" w:styleId="33">
    <w:name w:val="标题 2 Char"/>
    <w:basedOn w:val="30"/>
    <w:link w:val="3"/>
    <w:uiPriority w:val="0"/>
    <w:rPr>
      <w:rFonts w:ascii="仿宋_GB2312" w:hAnsi="宋体" w:eastAsia="仿宋_GB2312" w:cs="Times New Roman"/>
      <w:b/>
      <w:bCs/>
      <w:sz w:val="30"/>
      <w:szCs w:val="30"/>
    </w:rPr>
  </w:style>
  <w:style w:type="character" w:customStyle="1" w:styleId="34">
    <w:name w:val="标题 3 Char"/>
    <w:basedOn w:val="30"/>
    <w:link w:val="4"/>
    <w:uiPriority w:val="0"/>
    <w:rPr>
      <w:rFonts w:ascii="Times New Roman" w:hAnsi="Times New Roman" w:eastAsia="仿宋_GB2312" w:cs="Times New Roman"/>
      <w:b/>
      <w:sz w:val="30"/>
      <w:szCs w:val="20"/>
    </w:rPr>
  </w:style>
  <w:style w:type="character" w:customStyle="1" w:styleId="35">
    <w:name w:val="标题 4 Char"/>
    <w:basedOn w:val="30"/>
    <w:link w:val="5"/>
    <w:uiPriority w:val="0"/>
    <w:rPr>
      <w:rFonts w:ascii="Cambria" w:hAnsi="Cambria" w:eastAsia="宋体" w:cs="Times New Roman"/>
      <w:bCs/>
      <w:sz w:val="28"/>
      <w:szCs w:val="28"/>
    </w:rPr>
  </w:style>
  <w:style w:type="character" w:customStyle="1" w:styleId="36">
    <w:name w:val="页眉 Char"/>
    <w:basedOn w:val="30"/>
    <w:link w:val="18"/>
    <w:uiPriority w:val="99"/>
    <w:rPr>
      <w:sz w:val="18"/>
      <w:szCs w:val="18"/>
    </w:rPr>
  </w:style>
  <w:style w:type="character" w:customStyle="1" w:styleId="37">
    <w:name w:val="页脚 Char"/>
    <w:basedOn w:val="30"/>
    <w:link w:val="17"/>
    <w:uiPriority w:val="99"/>
    <w:rPr>
      <w:sz w:val="18"/>
      <w:szCs w:val="18"/>
    </w:rPr>
  </w:style>
  <w:style w:type="paragraph" w:customStyle="1" w:styleId="38">
    <w:name w:val="_Style 8"/>
    <w:basedOn w:val="1"/>
    <w:next w:val="1"/>
    <w:qFormat/>
    <w:uiPriority w:val="0"/>
    <w:pPr>
      <w:spacing w:line="360" w:lineRule="auto"/>
      <w:ind w:firstLine="480" w:firstLineChars="200"/>
    </w:pPr>
    <w:rPr>
      <w:rFonts w:ascii="仿宋_GB2312" w:hAnsi="Times New Roman" w:eastAsia="宋体" w:cs="Times New Roman"/>
      <w:sz w:val="24"/>
      <w:szCs w:val="20"/>
    </w:rPr>
  </w:style>
  <w:style w:type="character" w:customStyle="1" w:styleId="39">
    <w:name w:val="纯文本 Char1"/>
    <w:link w:val="12"/>
    <w:qFormat/>
    <w:uiPriority w:val="0"/>
    <w:rPr>
      <w:rFonts w:ascii="仿宋_GB2312" w:hAnsi="Times New Roman" w:eastAsia="宋体" w:cs="Times New Roman"/>
      <w:sz w:val="24"/>
      <w:szCs w:val="20"/>
      <w:lang w:val="zh-CN" w:eastAsia="zh-CN"/>
    </w:rPr>
  </w:style>
  <w:style w:type="character" w:customStyle="1" w:styleId="40">
    <w:name w:val="纯文本 Char"/>
    <w:basedOn w:val="30"/>
    <w:qFormat/>
    <w:uiPriority w:val="0"/>
    <w:rPr>
      <w:rFonts w:ascii="宋体" w:hAnsi="Courier New" w:eastAsia="宋体" w:cs="Courier New"/>
      <w:szCs w:val="21"/>
    </w:rPr>
  </w:style>
  <w:style w:type="table" w:customStyle="1" w:styleId="41">
    <w:name w:val="网格型1"/>
    <w:basedOn w:val="28"/>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2">
    <w:name w:val="List Paragraph1"/>
    <w:basedOn w:val="1"/>
    <w:qFormat/>
    <w:uiPriority w:val="99"/>
    <w:pPr>
      <w:ind w:firstLine="420" w:firstLineChars="200"/>
    </w:pPr>
    <w:rPr>
      <w:rFonts w:ascii="Calibri" w:hAnsi="Calibri" w:eastAsia="宋体" w:cs="Calibri"/>
      <w:szCs w:val="21"/>
    </w:rPr>
  </w:style>
  <w:style w:type="paragraph" w:styleId="43">
    <w:name w:val="List Paragraph"/>
    <w:basedOn w:val="1"/>
    <w:qFormat/>
    <w:uiPriority w:val="34"/>
    <w:pPr>
      <w:ind w:firstLine="420" w:firstLineChars="200"/>
    </w:pPr>
  </w:style>
  <w:style w:type="paragraph" w:customStyle="1" w:styleId="44">
    <w:name w:val="TOC Heading"/>
    <w:basedOn w:val="2"/>
    <w:next w:val="1"/>
    <w:unhideWhenUsed/>
    <w:qFormat/>
    <w:uiPriority w:val="0"/>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45">
    <w:name w:val="列出段落1"/>
    <w:basedOn w:val="1"/>
    <w:link w:val="46"/>
    <w:qFormat/>
    <w:uiPriority w:val="0"/>
    <w:pPr>
      <w:ind w:firstLine="420" w:firstLineChars="200"/>
    </w:pPr>
    <w:rPr>
      <w:rFonts w:ascii="Times New Roman" w:hAnsi="Times New Roman" w:eastAsia="宋体" w:cs="Times New Roman"/>
      <w:szCs w:val="24"/>
    </w:rPr>
  </w:style>
  <w:style w:type="character" w:customStyle="1" w:styleId="46">
    <w:name w:val="List Paragraph Char"/>
    <w:link w:val="45"/>
    <w:qFormat/>
    <w:locked/>
    <w:uiPriority w:val="0"/>
    <w:rPr>
      <w:rFonts w:ascii="Times New Roman" w:hAnsi="Times New Roman" w:eastAsia="宋体" w:cs="Times New Roman"/>
      <w:szCs w:val="24"/>
    </w:rPr>
  </w:style>
  <w:style w:type="character" w:customStyle="1" w:styleId="47">
    <w:name w:val="Char Char4"/>
    <w:qFormat/>
    <w:uiPriority w:val="0"/>
    <w:rPr>
      <w:rFonts w:ascii="Cambria" w:hAnsi="Cambria"/>
      <w:bCs/>
      <w:kern w:val="2"/>
      <w:sz w:val="28"/>
      <w:szCs w:val="28"/>
    </w:rPr>
  </w:style>
  <w:style w:type="character" w:customStyle="1" w:styleId="48">
    <w:name w:val="批注框文本 Char"/>
    <w:basedOn w:val="30"/>
    <w:link w:val="16"/>
    <w:qFormat/>
    <w:uiPriority w:val="0"/>
    <w:rPr>
      <w:rFonts w:ascii="Calibri" w:hAnsi="Calibri" w:eastAsia="宋体" w:cs="Times New Roman"/>
      <w:sz w:val="18"/>
      <w:szCs w:val="18"/>
    </w:rPr>
  </w:style>
  <w:style w:type="character" w:customStyle="1" w:styleId="49">
    <w:name w:val="Char Char5"/>
    <w:qFormat/>
    <w:uiPriority w:val="0"/>
    <w:rPr>
      <w:rFonts w:ascii="仿宋_GB2312" w:hAnsi="宋体" w:eastAsia="仿宋_GB2312"/>
      <w:b/>
      <w:bCs/>
      <w:kern w:val="2"/>
      <w:sz w:val="30"/>
      <w:szCs w:val="30"/>
    </w:rPr>
  </w:style>
  <w:style w:type="character" w:customStyle="1" w:styleId="50">
    <w:name w:val="Char Char"/>
    <w:qFormat/>
    <w:uiPriority w:val="0"/>
    <w:rPr>
      <w:rFonts w:eastAsia="宋体"/>
      <w:kern w:val="2"/>
      <w:sz w:val="18"/>
      <w:lang w:val="en-US" w:eastAsia="zh-CN"/>
    </w:rPr>
  </w:style>
  <w:style w:type="character" w:customStyle="1" w:styleId="51">
    <w:name w:val="Char Char3"/>
    <w:qFormat/>
    <w:uiPriority w:val="0"/>
    <w:rPr>
      <w:kern w:val="2"/>
      <w:sz w:val="21"/>
    </w:rPr>
  </w:style>
  <w:style w:type="character" w:customStyle="1" w:styleId="52">
    <w:name w:val="Char Char2"/>
    <w:qFormat/>
    <w:uiPriority w:val="0"/>
    <w:rPr>
      <w:rFonts w:ascii="仿宋_GB2312"/>
      <w:kern w:val="2"/>
      <w:sz w:val="24"/>
    </w:rPr>
  </w:style>
  <w:style w:type="character" w:customStyle="1" w:styleId="53">
    <w:name w:val="日期 Char"/>
    <w:link w:val="14"/>
    <w:semiHidden/>
    <w:qFormat/>
    <w:uiPriority w:val="0"/>
    <w:rPr>
      <w:b/>
      <w:sz w:val="32"/>
    </w:rPr>
  </w:style>
  <w:style w:type="character" w:customStyle="1" w:styleId="54">
    <w:name w:val="标题 Char"/>
    <w:qFormat/>
    <w:uiPriority w:val="0"/>
    <w:rPr>
      <w:rFonts w:ascii="Cambria" w:hAnsi="Cambria" w:eastAsia="黑体"/>
      <w:b/>
      <w:bCs/>
      <w:kern w:val="2"/>
      <w:sz w:val="52"/>
      <w:szCs w:val="32"/>
    </w:rPr>
  </w:style>
  <w:style w:type="character" w:customStyle="1" w:styleId="55">
    <w:name w:val="正文文本缩进 Char"/>
    <w:link w:val="9"/>
    <w:semiHidden/>
    <w:qFormat/>
    <w:uiPriority w:val="0"/>
    <w:rPr>
      <w:rFonts w:eastAsia="仿宋_GB2312"/>
      <w:sz w:val="32"/>
    </w:rPr>
  </w:style>
  <w:style w:type="character" w:customStyle="1" w:styleId="56">
    <w:name w:val="正文文本缩进 3 Char"/>
    <w:link w:val="22"/>
    <w:semiHidden/>
    <w:qFormat/>
    <w:uiPriority w:val="0"/>
  </w:style>
  <w:style w:type="character" w:customStyle="1" w:styleId="57">
    <w:name w:val="文档结构图 Char"/>
    <w:qFormat/>
    <w:uiPriority w:val="0"/>
    <w:rPr>
      <w:kern w:val="2"/>
      <w:sz w:val="21"/>
      <w:shd w:val="clear" w:color="auto" w:fill="000080"/>
    </w:rPr>
  </w:style>
  <w:style w:type="character" w:customStyle="1" w:styleId="58">
    <w:name w:val="Char Char1"/>
    <w:qFormat/>
    <w:uiPriority w:val="0"/>
    <w:rPr>
      <w:rFonts w:eastAsia="仿宋_GB2312"/>
      <w:kern w:val="2"/>
      <w:sz w:val="32"/>
    </w:rPr>
  </w:style>
  <w:style w:type="character" w:customStyle="1" w:styleId="59">
    <w:name w:val="正文文本缩进 2 Char"/>
    <w:link w:val="15"/>
    <w:semiHidden/>
    <w:qFormat/>
    <w:uiPriority w:val="0"/>
  </w:style>
  <w:style w:type="character" w:customStyle="1" w:styleId="60">
    <w:name w:val="正文文本 Char"/>
    <w:qFormat/>
    <w:uiPriority w:val="0"/>
    <w:rPr>
      <w:kern w:val="2"/>
      <w:sz w:val="21"/>
      <w:szCs w:val="24"/>
    </w:rPr>
  </w:style>
  <w:style w:type="paragraph" w:customStyle="1" w:styleId="61">
    <w:name w:val="已访问的超链接1"/>
    <w:qFormat/>
    <w:uiPriority w:val="0"/>
    <w:pPr>
      <w:widowControl w:val="0"/>
      <w:jc w:val="both"/>
    </w:pPr>
    <w:rPr>
      <w:rFonts w:ascii="Calibri" w:hAnsi="Calibri" w:eastAsia="宋体" w:cs="Times New Roman"/>
      <w:kern w:val="2"/>
      <w:sz w:val="21"/>
      <w:szCs w:val="22"/>
      <w:lang w:val="en-US" w:eastAsia="zh-CN" w:bidi="ar-SA"/>
    </w:rPr>
  </w:style>
  <w:style w:type="paragraph" w:customStyle="1" w:styleId="62">
    <w:name w:val="样式 标题 4 + 两端对齐"/>
    <w:basedOn w:val="5"/>
    <w:qFormat/>
    <w:uiPriority w:val="0"/>
    <w:rPr>
      <w:rFonts w:cs="宋体"/>
      <w:bCs w:val="0"/>
      <w:szCs w:val="20"/>
    </w:rPr>
  </w:style>
  <w:style w:type="paragraph" w:customStyle="1" w:styleId="63">
    <w:name w:val="样式 标题 2 + 非加粗"/>
    <w:basedOn w:val="3"/>
    <w:qFormat/>
    <w:uiPriority w:val="0"/>
    <w:pPr>
      <w:jc w:val="center"/>
    </w:pPr>
    <w:rPr>
      <w:rFonts w:eastAsia="宋体"/>
      <w:b w:val="0"/>
      <w:bCs w:val="0"/>
    </w:rPr>
  </w:style>
  <w:style w:type="character" w:customStyle="1" w:styleId="64">
    <w:name w:val="正文文本缩进 2 字符1"/>
    <w:basedOn w:val="30"/>
    <w:semiHidden/>
    <w:qFormat/>
    <w:uiPriority w:val="99"/>
  </w:style>
  <w:style w:type="character" w:customStyle="1" w:styleId="65">
    <w:name w:val="正文文本缩进 字符1"/>
    <w:basedOn w:val="30"/>
    <w:semiHidden/>
    <w:qFormat/>
    <w:uiPriority w:val="99"/>
  </w:style>
  <w:style w:type="character" w:customStyle="1" w:styleId="66">
    <w:name w:val="正文文本 Char1"/>
    <w:basedOn w:val="30"/>
    <w:link w:val="8"/>
    <w:semiHidden/>
    <w:qFormat/>
    <w:uiPriority w:val="0"/>
    <w:rPr>
      <w:rFonts w:ascii="Times New Roman" w:hAnsi="Times New Roman" w:eastAsia="宋体" w:cs="Times New Roman"/>
      <w:szCs w:val="20"/>
    </w:rPr>
  </w:style>
  <w:style w:type="character" w:customStyle="1" w:styleId="67">
    <w:name w:val="文档结构图 Char1"/>
    <w:basedOn w:val="30"/>
    <w:link w:val="7"/>
    <w:semiHidden/>
    <w:qFormat/>
    <w:uiPriority w:val="0"/>
    <w:rPr>
      <w:rFonts w:ascii="Times New Roman" w:hAnsi="Times New Roman" w:eastAsia="宋体" w:cs="Times New Roman"/>
      <w:szCs w:val="20"/>
      <w:shd w:val="clear" w:color="auto" w:fill="000080"/>
    </w:rPr>
  </w:style>
  <w:style w:type="character" w:customStyle="1" w:styleId="68">
    <w:name w:val="正文文本缩进 3 字符1"/>
    <w:basedOn w:val="30"/>
    <w:semiHidden/>
    <w:qFormat/>
    <w:uiPriority w:val="99"/>
    <w:rPr>
      <w:sz w:val="16"/>
      <w:szCs w:val="16"/>
    </w:rPr>
  </w:style>
  <w:style w:type="character" w:customStyle="1" w:styleId="69">
    <w:name w:val="日期 字符1"/>
    <w:basedOn w:val="30"/>
    <w:semiHidden/>
    <w:qFormat/>
    <w:uiPriority w:val="99"/>
  </w:style>
  <w:style w:type="character" w:customStyle="1" w:styleId="70">
    <w:name w:val="标题 Char1"/>
    <w:basedOn w:val="30"/>
    <w:link w:val="27"/>
    <w:qFormat/>
    <w:uiPriority w:val="0"/>
    <w:rPr>
      <w:rFonts w:ascii="Cambria" w:hAnsi="Cambria" w:eastAsia="黑体" w:cs="Times New Roman"/>
      <w:b/>
      <w:bCs/>
      <w:sz w:val="52"/>
      <w:szCs w:val="32"/>
    </w:rPr>
  </w:style>
  <w:style w:type="paragraph" w:customStyle="1" w:styleId="71">
    <w:name w:val="样式 标题 3 + 左侧:  1 字符"/>
    <w:basedOn w:val="4"/>
    <w:qFormat/>
    <w:uiPriority w:val="0"/>
    <w:pPr>
      <w:ind w:left="210"/>
      <w:jc w:val="center"/>
    </w:pPr>
    <w:rPr>
      <w:rFonts w:eastAsia="宋体" w:cs="宋体"/>
      <w:b w:val="0"/>
      <w:bCs/>
    </w:rPr>
  </w:style>
  <w:style w:type="paragraph" w:customStyle="1" w:styleId="72">
    <w:name w:val="样式"/>
    <w:basedOn w:val="1"/>
    <w:next w:val="8"/>
    <w:qFormat/>
    <w:uiPriority w:val="0"/>
    <w:pPr>
      <w:autoSpaceDE w:val="0"/>
      <w:autoSpaceDN w:val="0"/>
      <w:adjustRightInd w:val="0"/>
    </w:pPr>
    <w:rPr>
      <w:rFonts w:ascii="Times New Roman" w:hAnsi="Times New Roman" w:eastAsia="方正仿宋简体" w:cs="Times New Roman"/>
      <w:sz w:val="24"/>
      <w:szCs w:val="20"/>
    </w:rPr>
  </w:style>
  <w:style w:type="paragraph" w:customStyle="1" w:styleId="73">
    <w:name w:val="lan"/>
    <w:basedOn w:val="1"/>
    <w:qFormat/>
    <w:uiPriority w:val="0"/>
    <w:pPr>
      <w:widowControl/>
      <w:spacing w:before="100" w:beforeAutospacing="1" w:after="100" w:afterAutospacing="1" w:line="320" w:lineRule="atLeast"/>
      <w:jc w:val="left"/>
    </w:pPr>
    <w:rPr>
      <w:rFonts w:ascii="宋体" w:hAnsi="宋体" w:eastAsia="宋体" w:cs="Times New Roman"/>
      <w:color w:val="003399"/>
      <w:kern w:val="0"/>
      <w:sz w:val="18"/>
      <w:szCs w:val="20"/>
    </w:rPr>
  </w:style>
  <w:style w:type="paragraph" w:customStyle="1" w:styleId="74">
    <w:name w:val="p0"/>
    <w:basedOn w:val="1"/>
    <w:qFormat/>
    <w:uiPriority w:val="0"/>
    <w:pPr>
      <w:widowControl/>
    </w:pPr>
    <w:rPr>
      <w:rFonts w:hint="eastAsia" w:ascii="Times New Roman" w:hAnsi="Times New Roman" w:eastAsia="宋体" w:cs="Times New Roman"/>
      <w:sz w:val="24"/>
      <w:szCs w:val="24"/>
    </w:rPr>
  </w:style>
  <w:style w:type="character" w:customStyle="1" w:styleId="75">
    <w:name w:val="HTML 预设格式 Char"/>
    <w:basedOn w:val="30"/>
    <w:link w:val="25"/>
    <w:qFormat/>
    <w:uiPriority w:val="0"/>
    <w:rPr>
      <w:rFonts w:ascii="宋体" w:hAnsi="宋体" w:eastAsia="宋体" w:cs="Times New Roman"/>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957865-94CE-401E-BFCA-A1C420CD8C42}">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25</Pages>
  <Words>1579</Words>
  <Characters>9005</Characters>
  <Lines>75</Lines>
  <Paragraphs>21</Paragraphs>
  <TotalTime>2</TotalTime>
  <ScaleCrop>false</ScaleCrop>
  <LinksUpToDate>false</LinksUpToDate>
  <CharactersWithSpaces>10563</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2017-01-06T01:55:00Z</dcterms:created>
  <dc:creator>赵鋆冲</dc:creator>
  <cp:lastModifiedBy>天山</cp:lastModifiedBy>
  <dcterms:modified xsi:type="dcterms:W3CDTF">2020-04-16T00:39:40Z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